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EA" w:rsidRPr="009F7625" w:rsidRDefault="003C1BEA" w:rsidP="003C1BEA">
      <w:pPr>
        <w:pStyle w:val="ds-markdown-paragraph"/>
        <w:shd w:val="clear" w:color="auto" w:fill="FFFFFF"/>
        <w:spacing w:before="120" w:beforeAutospacing="0" w:after="0" w:afterAutospacing="0"/>
        <w:jc w:val="both"/>
        <w:rPr>
          <w:sz w:val="28"/>
          <w:szCs w:val="28"/>
        </w:rPr>
      </w:pPr>
      <w:r w:rsidRPr="009F7625">
        <w:rPr>
          <w:rStyle w:val="Strong"/>
          <w:sz w:val="28"/>
          <w:szCs w:val="28"/>
        </w:rPr>
        <w:t>ỦY BAN CHÂU ÂU</w:t>
      </w:r>
    </w:p>
    <w:p w:rsidR="008C31A7" w:rsidRPr="009F7625" w:rsidRDefault="008C31A7" w:rsidP="003C1BEA">
      <w:pPr>
        <w:pStyle w:val="ds-markdown-paragraph"/>
        <w:shd w:val="clear" w:color="auto" w:fill="FFFFFF"/>
        <w:spacing w:before="120" w:beforeAutospacing="0" w:after="0" w:afterAutospacing="0"/>
        <w:rPr>
          <w:sz w:val="28"/>
          <w:szCs w:val="28"/>
        </w:rPr>
      </w:pPr>
    </w:p>
    <w:p w:rsidR="008C31A7" w:rsidRPr="009F7625" w:rsidRDefault="00686CCE" w:rsidP="003C1BEA">
      <w:pPr>
        <w:pStyle w:val="ds-markdown-paragraph"/>
        <w:shd w:val="clear" w:color="auto" w:fill="FFFFFF"/>
        <w:spacing w:before="120" w:beforeAutospacing="0" w:after="0" w:afterAutospacing="0"/>
        <w:rPr>
          <w:sz w:val="28"/>
          <w:szCs w:val="28"/>
        </w:rPr>
      </w:pPr>
      <w:r w:rsidRPr="009F7625">
        <w:rPr>
          <w:noProof/>
          <w:sz w:val="28"/>
          <w:szCs w:val="28"/>
        </w:rPr>
        <mc:AlternateContent>
          <mc:Choice Requires="wps">
            <w:drawing>
              <wp:anchor distT="0" distB="0" distL="114300" distR="114300" simplePos="0" relativeHeight="251658240" behindDoc="0" locked="0" layoutInCell="1" allowOverlap="1" wp14:anchorId="5DEAF609" wp14:editId="19ED8E6A">
                <wp:simplePos x="0" y="0"/>
                <wp:positionH relativeFrom="column">
                  <wp:posOffset>-775335</wp:posOffset>
                </wp:positionH>
                <wp:positionV relativeFrom="paragraph">
                  <wp:posOffset>95250</wp:posOffset>
                </wp:positionV>
                <wp:extent cx="3143250" cy="355600"/>
                <wp:effectExtent l="9525" t="9525"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5600"/>
                        </a:xfrm>
                        <a:prstGeom prst="rect">
                          <a:avLst/>
                        </a:prstGeom>
                        <a:solidFill>
                          <a:srgbClr val="FFFFFF"/>
                        </a:solidFill>
                        <a:ln w="9525">
                          <a:solidFill>
                            <a:srgbClr val="000000"/>
                          </a:solidFill>
                          <a:miter lim="800000"/>
                          <a:headEnd/>
                          <a:tailEnd/>
                        </a:ln>
                      </wps:spPr>
                      <wps:txbx>
                        <w:txbxContent>
                          <w:p w:rsidR="00191A96" w:rsidRPr="00603B23" w:rsidRDefault="00191A96">
                            <w:pPr>
                              <w:rPr>
                                <w:rFonts w:ascii="Times New Roman" w:hAnsi="Times New Roman" w:cs="Times New Roman"/>
                                <w:sz w:val="20"/>
                                <w:szCs w:val="20"/>
                              </w:rPr>
                            </w:pPr>
                            <w:r w:rsidRPr="00603B23">
                              <w:rPr>
                                <w:rFonts w:ascii="Times New Roman" w:hAnsi="Times New Roman" w:cs="Times New Roman"/>
                                <w:sz w:val="20"/>
                                <w:szCs w:val="20"/>
                              </w:rPr>
                              <w:t>BẢN DỊCH TIẾNG VIỆT KHÔNG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AF609" id="_x0000_t202" coordsize="21600,21600" o:spt="202" path="m,l,21600r21600,l21600,xe">
                <v:stroke joinstyle="miter"/>
                <v:path gradientshapeok="t" o:connecttype="rect"/>
              </v:shapetype>
              <v:shape id="Text Box 2" o:spid="_x0000_s1026" type="#_x0000_t202" style="position:absolute;margin-left:-61.05pt;margin-top:7.5pt;width:247.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">
                <v:textbox>
                  <w:txbxContent>
                    <w:p w:rsidR="00191A96" w:rsidRPr="00603B23" w:rsidRDefault="00191A96">
                      <w:pPr>
                        <w:rPr>
                          <w:rFonts w:ascii="Times New Roman" w:hAnsi="Times New Roman" w:cs="Times New Roman"/>
                          <w:sz w:val="20"/>
                          <w:szCs w:val="20"/>
                        </w:rPr>
                      </w:pPr>
                      <w:r w:rsidRPr="00603B23">
                        <w:rPr>
                          <w:rFonts w:ascii="Times New Roman" w:hAnsi="Times New Roman" w:cs="Times New Roman"/>
                          <w:sz w:val="20"/>
                          <w:szCs w:val="20"/>
                        </w:rPr>
                        <w:t>BẢN DỊCH TIẾNG VIỆT KHÔNG CHÍNH THỨC</w:t>
                      </w:r>
                    </w:p>
                  </w:txbxContent>
                </v:textbox>
              </v:shape>
            </w:pict>
          </mc:Fallback>
        </mc:AlternateContent>
      </w:r>
    </w:p>
    <w:p w:rsidR="008C31A7" w:rsidRPr="009F7625" w:rsidRDefault="008C31A7" w:rsidP="003C1BEA">
      <w:pPr>
        <w:pStyle w:val="ds-markdown-paragraph"/>
        <w:shd w:val="clear" w:color="auto" w:fill="FFFFFF"/>
        <w:spacing w:before="120" w:beforeAutospacing="0" w:after="0" w:afterAutospacing="0"/>
        <w:rPr>
          <w:sz w:val="28"/>
          <w:szCs w:val="28"/>
        </w:rPr>
      </w:pPr>
    </w:p>
    <w:p w:rsidR="003C1BEA" w:rsidRPr="009F7625" w:rsidRDefault="008C31A7" w:rsidP="003C1BEA">
      <w:pPr>
        <w:pStyle w:val="ds-markdown-paragraph"/>
        <w:shd w:val="clear" w:color="auto" w:fill="FFFFFF"/>
        <w:spacing w:before="120" w:beforeAutospacing="0" w:after="0" w:afterAutospacing="0"/>
        <w:rPr>
          <w:sz w:val="28"/>
          <w:szCs w:val="28"/>
        </w:rPr>
      </w:pP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003C1BEA" w:rsidRPr="009F7625">
        <w:rPr>
          <w:sz w:val="28"/>
          <w:szCs w:val="28"/>
        </w:rPr>
        <w:t>Strasbourg, ngày 16 tháng 12 năm 2025</w:t>
      </w:r>
      <w:r w:rsidR="003C1BEA" w:rsidRPr="009F7625">
        <w:rPr>
          <w:sz w:val="28"/>
          <w:szCs w:val="28"/>
        </w:rPr>
        <w:br/>
      </w: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003C1BEA" w:rsidRPr="009F7625">
        <w:rPr>
          <w:sz w:val="28"/>
          <w:szCs w:val="28"/>
        </w:rPr>
        <w:t>C</w:t>
      </w:r>
      <w:bookmarkStart w:id="0" w:name="_GoBack"/>
      <w:bookmarkEnd w:id="0"/>
      <w:r w:rsidR="003C1BEA" w:rsidRPr="009F7625">
        <w:rPr>
          <w:sz w:val="28"/>
          <w:szCs w:val="28"/>
        </w:rPr>
        <w:t xml:space="preserve">OM(2025) 1030 </w:t>
      </w:r>
      <w:r w:rsidRPr="009F7625">
        <w:rPr>
          <w:sz w:val="28"/>
          <w:szCs w:val="28"/>
        </w:rPr>
        <w:t>bản cuối</w:t>
      </w:r>
      <w:r w:rsidR="003C1BEA" w:rsidRPr="009F7625">
        <w:rPr>
          <w:sz w:val="28"/>
          <w:szCs w:val="28"/>
        </w:rPr>
        <w:br/>
      </w: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Pr="009F7625">
        <w:rPr>
          <w:sz w:val="28"/>
          <w:szCs w:val="28"/>
        </w:rPr>
        <w:tab/>
      </w:r>
      <w:r w:rsidR="003C1BEA" w:rsidRPr="009F7625">
        <w:rPr>
          <w:sz w:val="28"/>
          <w:szCs w:val="28"/>
        </w:rPr>
        <w:t>2025/0410 (COD)</w:t>
      </w:r>
    </w:p>
    <w:p w:rsidR="008C31A7" w:rsidRPr="009F7625" w:rsidRDefault="008C31A7" w:rsidP="003C1BEA">
      <w:pPr>
        <w:pStyle w:val="ds-markdown-paragraph"/>
        <w:shd w:val="clear" w:color="auto" w:fill="FFFFFF"/>
        <w:spacing w:before="120" w:beforeAutospacing="0" w:after="0" w:afterAutospacing="0"/>
        <w:rPr>
          <w:b/>
          <w:sz w:val="28"/>
          <w:szCs w:val="28"/>
        </w:rPr>
      </w:pPr>
    </w:p>
    <w:p w:rsidR="008C31A7" w:rsidRPr="009F7625" w:rsidRDefault="008C31A7" w:rsidP="008C31A7">
      <w:pPr>
        <w:pStyle w:val="ds-markdown-paragraph"/>
        <w:shd w:val="clear" w:color="auto" w:fill="FFFFFF"/>
        <w:spacing w:before="0" w:beforeAutospacing="0" w:after="0" w:afterAutospacing="0"/>
        <w:rPr>
          <w:b/>
          <w:sz w:val="28"/>
          <w:szCs w:val="28"/>
        </w:rPr>
      </w:pPr>
    </w:p>
    <w:p w:rsidR="008C31A7" w:rsidRPr="009F7625" w:rsidRDefault="008C31A7" w:rsidP="008C31A7">
      <w:pPr>
        <w:pStyle w:val="ds-markdown-paragraph"/>
        <w:shd w:val="clear" w:color="auto" w:fill="FFFFFF"/>
        <w:spacing w:before="0" w:beforeAutospacing="0" w:after="0" w:afterAutospacing="0"/>
        <w:jc w:val="center"/>
        <w:rPr>
          <w:b/>
          <w:sz w:val="34"/>
          <w:szCs w:val="34"/>
        </w:rPr>
      </w:pPr>
    </w:p>
    <w:p w:rsidR="008C31A7" w:rsidRPr="009F7625" w:rsidRDefault="008C31A7" w:rsidP="008C31A7">
      <w:pPr>
        <w:pStyle w:val="ds-markdown-paragraph"/>
        <w:shd w:val="clear" w:color="auto" w:fill="FFFFFF"/>
        <w:spacing w:before="0" w:beforeAutospacing="0" w:after="0" w:afterAutospacing="0"/>
        <w:jc w:val="center"/>
        <w:rPr>
          <w:b/>
          <w:sz w:val="34"/>
          <w:szCs w:val="34"/>
        </w:rPr>
      </w:pPr>
    </w:p>
    <w:p w:rsidR="008C31A7" w:rsidRPr="009F7625" w:rsidRDefault="008C31A7" w:rsidP="005804E2">
      <w:pPr>
        <w:pStyle w:val="ds-markdown-paragraph"/>
        <w:shd w:val="clear" w:color="auto" w:fill="FFFFFF"/>
        <w:spacing w:before="0" w:beforeAutospacing="0" w:after="0" w:afterAutospacing="0"/>
        <w:jc w:val="center"/>
        <w:rPr>
          <w:b/>
          <w:sz w:val="30"/>
          <w:szCs w:val="30"/>
        </w:rPr>
      </w:pPr>
    </w:p>
    <w:p w:rsidR="003C1BEA" w:rsidRPr="009F7625" w:rsidRDefault="003C1BEA" w:rsidP="005804E2">
      <w:pPr>
        <w:pStyle w:val="ds-markdown-paragraph"/>
        <w:shd w:val="clear" w:color="auto" w:fill="FFFFFF"/>
        <w:spacing w:before="0" w:beforeAutospacing="0" w:after="0" w:afterAutospacing="0"/>
        <w:jc w:val="center"/>
        <w:rPr>
          <w:b/>
          <w:sz w:val="30"/>
          <w:szCs w:val="30"/>
        </w:rPr>
      </w:pPr>
      <w:r w:rsidRPr="009F7625">
        <w:rPr>
          <w:b/>
          <w:sz w:val="30"/>
          <w:szCs w:val="30"/>
        </w:rPr>
        <w:t>Đề xuất</w:t>
      </w:r>
    </w:p>
    <w:p w:rsidR="003C1BEA" w:rsidRPr="009F7625" w:rsidRDefault="003C1BEA" w:rsidP="005804E2">
      <w:pPr>
        <w:pStyle w:val="ds-markdown-paragraph"/>
        <w:shd w:val="clear" w:color="auto" w:fill="FFFFFF"/>
        <w:spacing w:before="0" w:beforeAutospacing="0" w:after="0" w:afterAutospacing="0"/>
        <w:jc w:val="center"/>
        <w:rPr>
          <w:sz w:val="30"/>
          <w:szCs w:val="30"/>
        </w:rPr>
      </w:pPr>
      <w:r w:rsidRPr="009F7625">
        <w:rPr>
          <w:rStyle w:val="Strong"/>
          <w:sz w:val="30"/>
          <w:szCs w:val="30"/>
        </w:rPr>
        <w:t>QUY ĐỊNH CỦA NGHỊ VIỆN VÀ HỘI ĐỒNG</w:t>
      </w:r>
      <w:r w:rsidR="00603B23" w:rsidRPr="009F7625">
        <w:rPr>
          <w:rStyle w:val="Strong"/>
          <w:sz w:val="30"/>
          <w:szCs w:val="30"/>
        </w:rPr>
        <w:t xml:space="preserve"> CHÂU ÂU</w:t>
      </w:r>
    </w:p>
    <w:p w:rsidR="008C31A7" w:rsidRPr="009F7625" w:rsidRDefault="008C31A7" w:rsidP="005804E2">
      <w:pPr>
        <w:pStyle w:val="ds-markdown-paragraph"/>
        <w:shd w:val="clear" w:color="auto" w:fill="FFFFFF"/>
        <w:spacing w:before="0" w:beforeAutospacing="0" w:after="0" w:afterAutospacing="0"/>
        <w:jc w:val="center"/>
        <w:rPr>
          <w:rStyle w:val="Strong"/>
          <w:sz w:val="30"/>
          <w:szCs w:val="30"/>
        </w:rPr>
      </w:pPr>
      <w:r w:rsidRPr="009F7625">
        <w:rPr>
          <w:rStyle w:val="Strong"/>
          <w:sz w:val="30"/>
          <w:szCs w:val="30"/>
        </w:rPr>
        <w:t xml:space="preserve">Về việc </w:t>
      </w:r>
      <w:r w:rsidR="003C1BEA" w:rsidRPr="009F7625">
        <w:rPr>
          <w:rStyle w:val="Strong"/>
          <w:sz w:val="30"/>
          <w:szCs w:val="30"/>
        </w:rPr>
        <w:t xml:space="preserve">sửa đổi các Quy định (EC) số 999/2001, </w:t>
      </w:r>
    </w:p>
    <w:p w:rsidR="008C31A7" w:rsidRPr="009F7625" w:rsidRDefault="003C1BEA" w:rsidP="005804E2">
      <w:pPr>
        <w:pStyle w:val="ds-markdown-paragraph"/>
        <w:shd w:val="clear" w:color="auto" w:fill="FFFFFF"/>
        <w:spacing w:before="0" w:beforeAutospacing="0" w:after="0" w:afterAutospacing="0"/>
        <w:jc w:val="center"/>
        <w:rPr>
          <w:rStyle w:val="Strong"/>
          <w:sz w:val="30"/>
          <w:szCs w:val="30"/>
        </w:rPr>
      </w:pPr>
      <w:r w:rsidRPr="009F7625">
        <w:rPr>
          <w:rStyle w:val="Strong"/>
          <w:sz w:val="30"/>
          <w:szCs w:val="30"/>
        </w:rPr>
        <w:t>(EC) số 1829/2003, (EC) số 1831/2003, (EC) số 852/2004,</w:t>
      </w:r>
    </w:p>
    <w:p w:rsidR="008C31A7" w:rsidRPr="009F7625" w:rsidRDefault="003C1BEA" w:rsidP="005804E2">
      <w:pPr>
        <w:pStyle w:val="ds-markdown-paragraph"/>
        <w:shd w:val="clear" w:color="auto" w:fill="FFFFFF"/>
        <w:spacing w:before="0" w:beforeAutospacing="0" w:after="0" w:afterAutospacing="0"/>
        <w:jc w:val="center"/>
        <w:rPr>
          <w:rStyle w:val="Strong"/>
          <w:sz w:val="30"/>
          <w:szCs w:val="30"/>
        </w:rPr>
      </w:pPr>
      <w:r w:rsidRPr="009F7625">
        <w:rPr>
          <w:rStyle w:val="Strong"/>
          <w:sz w:val="30"/>
          <w:szCs w:val="30"/>
        </w:rPr>
        <w:t xml:space="preserve"> (EC) số 853/2004, (EC) số 396/2005, (EC) số 1099/2009, </w:t>
      </w:r>
    </w:p>
    <w:p w:rsidR="005804E2" w:rsidRPr="009F7625" w:rsidRDefault="003C1BEA" w:rsidP="005804E2">
      <w:pPr>
        <w:pStyle w:val="ds-markdown-paragraph"/>
        <w:shd w:val="clear" w:color="auto" w:fill="FFFFFF"/>
        <w:spacing w:before="0" w:beforeAutospacing="0" w:after="0" w:afterAutospacing="0"/>
        <w:jc w:val="center"/>
        <w:rPr>
          <w:rStyle w:val="Strong"/>
          <w:sz w:val="30"/>
          <w:szCs w:val="30"/>
        </w:rPr>
      </w:pPr>
      <w:r w:rsidRPr="009F7625">
        <w:rPr>
          <w:rStyle w:val="Strong"/>
          <w:sz w:val="30"/>
          <w:szCs w:val="30"/>
        </w:rPr>
        <w:t xml:space="preserve">(EC) số 1107/2009, (EU) số 528/2012, (EU) 2017/625 về việc </w:t>
      </w:r>
    </w:p>
    <w:p w:rsidR="008C31A7" w:rsidRPr="009F7625" w:rsidRDefault="003C1BEA" w:rsidP="005804E2">
      <w:pPr>
        <w:pStyle w:val="ds-markdown-paragraph"/>
        <w:shd w:val="clear" w:color="auto" w:fill="FFFFFF"/>
        <w:spacing w:before="0" w:beforeAutospacing="0" w:after="0" w:afterAutospacing="0"/>
        <w:jc w:val="center"/>
        <w:rPr>
          <w:rStyle w:val="Strong"/>
          <w:sz w:val="30"/>
          <w:szCs w:val="30"/>
        </w:rPr>
      </w:pPr>
      <w:r w:rsidRPr="009F7625">
        <w:rPr>
          <w:rStyle w:val="Strong"/>
          <w:sz w:val="30"/>
          <w:szCs w:val="30"/>
        </w:rPr>
        <w:t xml:space="preserve">đơn giản hóa và tăng cường các yêu cầu an toàn thực phẩm </w:t>
      </w:r>
    </w:p>
    <w:p w:rsidR="003C1BEA" w:rsidRPr="009F7625" w:rsidRDefault="003C1BEA" w:rsidP="005804E2">
      <w:pPr>
        <w:pStyle w:val="ds-markdown-paragraph"/>
        <w:shd w:val="clear" w:color="auto" w:fill="FFFFFF"/>
        <w:spacing w:before="0" w:beforeAutospacing="0" w:after="0" w:afterAutospacing="0"/>
        <w:jc w:val="center"/>
        <w:rPr>
          <w:sz w:val="30"/>
          <w:szCs w:val="30"/>
        </w:rPr>
      </w:pPr>
      <w:r w:rsidRPr="009F7625">
        <w:rPr>
          <w:rStyle w:val="Strong"/>
          <w:sz w:val="30"/>
          <w:szCs w:val="30"/>
        </w:rPr>
        <w:t>và thức ăn chăn nuôi</w:t>
      </w:r>
    </w:p>
    <w:p w:rsidR="008C31A7" w:rsidRPr="009F7625" w:rsidRDefault="008C31A7" w:rsidP="005804E2">
      <w:pPr>
        <w:spacing w:after="0" w:line="240" w:lineRule="auto"/>
        <w:jc w:val="center"/>
        <w:rPr>
          <w:rFonts w:ascii="Times New Roman" w:eastAsia="Times New Roman" w:hAnsi="Times New Roman" w:cs="Times New Roman"/>
          <w:sz w:val="28"/>
          <w:szCs w:val="28"/>
        </w:rPr>
      </w:pPr>
      <w:r w:rsidRPr="009F7625">
        <w:rPr>
          <w:rFonts w:ascii="Times New Roman" w:hAnsi="Times New Roman" w:cs="Times New Roman"/>
          <w:i/>
          <w:iCs/>
          <w:sz w:val="30"/>
          <w:szCs w:val="30"/>
        </w:rPr>
        <w:t>{Tài liệu làm việc do các cơ quan chuyên môn thuộc Ủy ban Châu Âu xây dựng số 1030 năm 2005 (bản cuối)}</w:t>
      </w:r>
    </w:p>
    <w:p w:rsidR="003C1BEA" w:rsidRPr="009F7625" w:rsidRDefault="003C1BEA" w:rsidP="003C1BEA">
      <w:pPr>
        <w:pStyle w:val="ds-markdown-paragraph"/>
        <w:shd w:val="clear" w:color="auto" w:fill="FFFFFF"/>
        <w:spacing w:before="120" w:beforeAutospacing="0" w:after="0" w:afterAutospacing="0"/>
        <w:jc w:val="both"/>
        <w:rPr>
          <w:sz w:val="28"/>
          <w:szCs w:val="28"/>
        </w:rPr>
      </w:pPr>
    </w:p>
    <w:p w:rsidR="00D124B3" w:rsidRPr="009F7625" w:rsidRDefault="00D124B3" w:rsidP="003C1BEA">
      <w:pPr>
        <w:pStyle w:val="ds-markdown-paragraph"/>
        <w:shd w:val="clear" w:color="auto" w:fill="FFFFFF"/>
        <w:spacing w:before="120" w:beforeAutospacing="0" w:after="0" w:afterAutospacing="0"/>
        <w:jc w:val="both"/>
        <w:rPr>
          <w:sz w:val="28"/>
          <w:szCs w:val="28"/>
        </w:rPr>
        <w:sectPr w:rsidR="00D124B3" w:rsidRPr="009F7625" w:rsidSect="008C31A7">
          <w:headerReference w:type="default" r:id="rId8"/>
          <w:pgSz w:w="11907" w:h="16840" w:code="9"/>
          <w:pgMar w:top="1134" w:right="1134" w:bottom="1134" w:left="1701" w:header="709" w:footer="709" w:gutter="0"/>
          <w:cols w:space="708"/>
          <w:docGrid w:linePitch="360"/>
        </w:sectPr>
      </w:pPr>
    </w:p>
    <w:p w:rsidR="003C1BEA" w:rsidRPr="009F7625" w:rsidRDefault="003C1BEA" w:rsidP="003C1BEA">
      <w:pPr>
        <w:pStyle w:val="ds-markdown-paragraph"/>
        <w:shd w:val="clear" w:color="auto" w:fill="FFFFFF"/>
        <w:spacing w:before="120" w:beforeAutospacing="0" w:after="0" w:afterAutospacing="0"/>
        <w:jc w:val="both"/>
        <w:rPr>
          <w:sz w:val="28"/>
          <w:szCs w:val="28"/>
        </w:rPr>
      </w:pPr>
      <w:r w:rsidRPr="009F7625">
        <w:rPr>
          <w:sz w:val="28"/>
          <w:szCs w:val="28"/>
        </w:rPr>
        <w:lastRenderedPageBreak/>
        <w:t>2025/0410 (COD)</w:t>
      </w:r>
    </w:p>
    <w:p w:rsidR="005804E2" w:rsidRPr="009F7625" w:rsidRDefault="005804E2" w:rsidP="005804E2">
      <w:pPr>
        <w:pStyle w:val="ds-markdown-paragraph"/>
        <w:shd w:val="clear" w:color="auto" w:fill="FFFFFF"/>
        <w:spacing w:before="0" w:beforeAutospacing="0" w:after="0" w:afterAutospacing="0"/>
        <w:jc w:val="center"/>
        <w:rPr>
          <w:b/>
          <w:sz w:val="28"/>
          <w:szCs w:val="28"/>
        </w:rPr>
      </w:pPr>
      <w:r w:rsidRPr="009F7625">
        <w:rPr>
          <w:b/>
          <w:sz w:val="28"/>
          <w:szCs w:val="28"/>
        </w:rPr>
        <w:t>Đề xuất</w:t>
      </w:r>
    </w:p>
    <w:p w:rsidR="005804E2" w:rsidRPr="009F7625" w:rsidRDefault="005804E2" w:rsidP="005804E2">
      <w:pPr>
        <w:pStyle w:val="ds-markdown-paragraph"/>
        <w:shd w:val="clear" w:color="auto" w:fill="FFFFFF"/>
        <w:spacing w:before="0" w:beforeAutospacing="0" w:after="0" w:afterAutospacing="0"/>
        <w:jc w:val="center"/>
        <w:rPr>
          <w:sz w:val="28"/>
          <w:szCs w:val="28"/>
        </w:rPr>
      </w:pPr>
      <w:r w:rsidRPr="009F7625">
        <w:rPr>
          <w:rStyle w:val="Strong"/>
          <w:sz w:val="28"/>
          <w:szCs w:val="28"/>
        </w:rPr>
        <w:t>QUY ĐỊNH CỦA NGHỊ VIỆN VÀ HỘI ĐỒNG</w:t>
      </w:r>
      <w:r w:rsidR="00603B23" w:rsidRPr="009F7625">
        <w:rPr>
          <w:rStyle w:val="Strong"/>
          <w:sz w:val="28"/>
          <w:szCs w:val="28"/>
        </w:rPr>
        <w:t xml:space="preserve"> CHÂU ÂU</w:t>
      </w:r>
    </w:p>
    <w:p w:rsidR="005804E2" w:rsidRPr="009F7625" w:rsidRDefault="005804E2" w:rsidP="005804E2">
      <w:pPr>
        <w:pStyle w:val="ds-markdown-paragraph"/>
        <w:shd w:val="clear" w:color="auto" w:fill="FFFFFF"/>
        <w:spacing w:before="0" w:beforeAutospacing="0" w:after="0" w:afterAutospacing="0"/>
        <w:jc w:val="center"/>
        <w:rPr>
          <w:rStyle w:val="Strong"/>
          <w:sz w:val="28"/>
          <w:szCs w:val="28"/>
        </w:rPr>
      </w:pPr>
      <w:r w:rsidRPr="009F7625">
        <w:rPr>
          <w:rStyle w:val="Strong"/>
          <w:sz w:val="28"/>
          <w:szCs w:val="28"/>
        </w:rPr>
        <w:t xml:space="preserve">Về việc sửa đổi các Quy định (EC) số 999/2001, </w:t>
      </w:r>
    </w:p>
    <w:p w:rsidR="005804E2" w:rsidRPr="009F7625" w:rsidRDefault="005804E2" w:rsidP="005804E2">
      <w:pPr>
        <w:pStyle w:val="ds-markdown-paragraph"/>
        <w:shd w:val="clear" w:color="auto" w:fill="FFFFFF"/>
        <w:spacing w:before="0" w:beforeAutospacing="0" w:after="0" w:afterAutospacing="0"/>
        <w:jc w:val="center"/>
        <w:rPr>
          <w:rStyle w:val="Strong"/>
          <w:sz w:val="28"/>
          <w:szCs w:val="28"/>
        </w:rPr>
      </w:pPr>
      <w:r w:rsidRPr="009F7625">
        <w:rPr>
          <w:rStyle w:val="Strong"/>
          <w:sz w:val="28"/>
          <w:szCs w:val="28"/>
        </w:rPr>
        <w:t>(EC) số 1829/2003, (EC) số 1831/2003, (EC) số 852/2004,</w:t>
      </w:r>
    </w:p>
    <w:p w:rsidR="005804E2" w:rsidRPr="009F7625" w:rsidRDefault="005804E2" w:rsidP="005804E2">
      <w:pPr>
        <w:pStyle w:val="ds-markdown-paragraph"/>
        <w:shd w:val="clear" w:color="auto" w:fill="FFFFFF"/>
        <w:spacing w:before="0" w:beforeAutospacing="0" w:after="0" w:afterAutospacing="0"/>
        <w:jc w:val="center"/>
        <w:rPr>
          <w:rStyle w:val="Strong"/>
          <w:sz w:val="28"/>
          <w:szCs w:val="28"/>
        </w:rPr>
      </w:pPr>
      <w:r w:rsidRPr="009F7625">
        <w:rPr>
          <w:rStyle w:val="Strong"/>
          <w:sz w:val="28"/>
          <w:szCs w:val="28"/>
        </w:rPr>
        <w:t xml:space="preserve"> (EC) số 853/2004, (EC) số 396/2005, (EC) số 1099/2009, </w:t>
      </w:r>
    </w:p>
    <w:p w:rsidR="005804E2" w:rsidRPr="009F7625" w:rsidRDefault="005804E2" w:rsidP="005804E2">
      <w:pPr>
        <w:pStyle w:val="ds-markdown-paragraph"/>
        <w:shd w:val="clear" w:color="auto" w:fill="FFFFFF"/>
        <w:spacing w:before="0" w:beforeAutospacing="0" w:after="0" w:afterAutospacing="0"/>
        <w:jc w:val="center"/>
        <w:rPr>
          <w:rStyle w:val="Strong"/>
          <w:sz w:val="28"/>
          <w:szCs w:val="28"/>
        </w:rPr>
      </w:pPr>
      <w:r w:rsidRPr="009F7625">
        <w:rPr>
          <w:rStyle w:val="Strong"/>
          <w:sz w:val="28"/>
          <w:szCs w:val="28"/>
        </w:rPr>
        <w:t xml:space="preserve">(EC) số 1107/2009, (EU) số 528/2012, (EU) 2017/625 về việc </w:t>
      </w:r>
    </w:p>
    <w:p w:rsidR="005804E2" w:rsidRPr="009F7625" w:rsidRDefault="005804E2" w:rsidP="005804E2">
      <w:pPr>
        <w:pStyle w:val="ds-markdown-paragraph"/>
        <w:shd w:val="clear" w:color="auto" w:fill="FFFFFF"/>
        <w:spacing w:before="0" w:beforeAutospacing="0" w:after="0" w:afterAutospacing="0"/>
        <w:jc w:val="center"/>
        <w:rPr>
          <w:rStyle w:val="Strong"/>
          <w:sz w:val="28"/>
          <w:szCs w:val="28"/>
        </w:rPr>
      </w:pPr>
      <w:r w:rsidRPr="009F7625">
        <w:rPr>
          <w:rStyle w:val="Strong"/>
          <w:sz w:val="28"/>
          <w:szCs w:val="28"/>
        </w:rPr>
        <w:t xml:space="preserve">đơn giản hóa và tăng cường các yêu cầu an toàn thực phẩm </w:t>
      </w:r>
    </w:p>
    <w:p w:rsidR="005804E2" w:rsidRPr="009F7625" w:rsidRDefault="005804E2" w:rsidP="005804E2">
      <w:pPr>
        <w:pStyle w:val="ds-markdown-paragraph"/>
        <w:shd w:val="clear" w:color="auto" w:fill="FFFFFF"/>
        <w:spacing w:before="0" w:beforeAutospacing="0" w:after="0" w:afterAutospacing="0"/>
        <w:jc w:val="center"/>
        <w:rPr>
          <w:sz w:val="28"/>
          <w:szCs w:val="28"/>
        </w:rPr>
      </w:pPr>
      <w:r w:rsidRPr="009F7625">
        <w:rPr>
          <w:rStyle w:val="Strong"/>
          <w:sz w:val="28"/>
          <w:szCs w:val="28"/>
        </w:rPr>
        <w:t>và thức ăn chăn nuôi</w:t>
      </w:r>
    </w:p>
    <w:p w:rsidR="005804E2" w:rsidRPr="009F7625" w:rsidRDefault="005804E2" w:rsidP="003C1BEA">
      <w:pPr>
        <w:pStyle w:val="ds-markdown-paragraph"/>
        <w:shd w:val="clear" w:color="auto" w:fill="FFFFFF"/>
        <w:spacing w:before="120" w:beforeAutospacing="0" w:after="0" w:afterAutospacing="0"/>
        <w:jc w:val="both"/>
        <w:rPr>
          <w:sz w:val="28"/>
          <w:szCs w:val="28"/>
        </w:rPr>
      </w:pPr>
    </w:p>
    <w:p w:rsidR="003C1BEA" w:rsidRPr="009F7625" w:rsidRDefault="003C1BEA" w:rsidP="00603B23">
      <w:pPr>
        <w:pStyle w:val="ds-markdown-paragraph"/>
        <w:shd w:val="clear" w:color="auto" w:fill="FFFFFF"/>
        <w:spacing w:before="120" w:beforeAutospacing="0" w:after="120" w:afterAutospacing="0" w:line="360" w:lineRule="atLeast"/>
        <w:jc w:val="center"/>
        <w:rPr>
          <w:sz w:val="28"/>
          <w:szCs w:val="28"/>
        </w:rPr>
      </w:pPr>
      <w:r w:rsidRPr="009F7625">
        <w:rPr>
          <w:sz w:val="28"/>
          <w:szCs w:val="28"/>
        </w:rPr>
        <w:t>NGHỊ VIỆN VÀ HỘI ĐỒNG LIÊN MINH CHÂU ÂU,</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 xml:space="preserve">Căn cứ vào Hiệp ước về Hoạt động của Liên minh Châu Âu, đặc biệt là </w:t>
      </w:r>
      <w:r w:rsidR="008D6166" w:rsidRPr="009F7625">
        <w:rPr>
          <w:sz w:val="28"/>
          <w:szCs w:val="28"/>
        </w:rPr>
        <w:t xml:space="preserve">Khoản 2 </w:t>
      </w:r>
      <w:r w:rsidRPr="009F7625">
        <w:rPr>
          <w:sz w:val="28"/>
          <w:szCs w:val="28"/>
        </w:rPr>
        <w:t>Điều 43, Điều 114,</w:t>
      </w:r>
      <w:r w:rsidR="008D6166" w:rsidRPr="009F7625">
        <w:rPr>
          <w:sz w:val="28"/>
          <w:szCs w:val="28"/>
        </w:rPr>
        <w:t xml:space="preserve"> điểm b Khoản 4</w:t>
      </w:r>
      <w:r w:rsidRPr="009F7625">
        <w:rPr>
          <w:sz w:val="28"/>
          <w:szCs w:val="28"/>
        </w:rPr>
        <w:t xml:space="preserve"> Điều 168 và</w:t>
      </w:r>
      <w:r w:rsidR="008D6166" w:rsidRPr="009F7625">
        <w:rPr>
          <w:sz w:val="28"/>
          <w:szCs w:val="28"/>
        </w:rPr>
        <w:t xml:space="preserve"> Khoản 1</w:t>
      </w:r>
      <w:r w:rsidRPr="009F7625">
        <w:rPr>
          <w:sz w:val="28"/>
          <w:szCs w:val="28"/>
        </w:rPr>
        <w:t xml:space="preserve"> Điều 192</w:t>
      </w:r>
      <w:r w:rsidR="00F60DC9" w:rsidRPr="009F7625">
        <w:rPr>
          <w:sz w:val="28"/>
          <w:szCs w:val="28"/>
        </w:rPr>
        <w:t xml:space="preserve"> của Hiệp ước này;</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 xml:space="preserve">Căn cứ vào đề xuất </w:t>
      </w:r>
      <w:r w:rsidR="00F60DC9" w:rsidRPr="009F7625">
        <w:rPr>
          <w:sz w:val="28"/>
          <w:szCs w:val="28"/>
        </w:rPr>
        <w:t>của</w:t>
      </w:r>
      <w:r w:rsidRPr="009F7625">
        <w:rPr>
          <w:sz w:val="28"/>
          <w:szCs w:val="28"/>
        </w:rPr>
        <w:t xml:space="preserve"> Ủy ban Châu Âu</w:t>
      </w:r>
      <w:r w:rsidR="00F60DC9"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Sau khi chuyển dự thảo văn bản lập pháp tới các nghị viện quốc gia</w:t>
      </w:r>
      <w:r w:rsidR="00F60DC9" w:rsidRPr="009F7625">
        <w:rPr>
          <w:sz w:val="28"/>
          <w:szCs w:val="28"/>
        </w:rPr>
        <w:t xml:space="preserve"> thành viên;</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Căn cứ vào ý kiến của Ủy ban Kinh tế và Xã hội Châu Âu</w:t>
      </w:r>
      <w:r w:rsidR="00F60DC9"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Căn cứ vào ý kiến của Ủy ban các Vùng</w:t>
      </w:r>
      <w:r w:rsidR="00F60DC9"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Thực hiện theo thủ tục lập pháp thông thường,</w:t>
      </w:r>
    </w:p>
    <w:p w:rsidR="003C1BEA" w:rsidRPr="009F7625" w:rsidRDefault="00F60DC9"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Xét rằng:</w:t>
      </w:r>
    </w:p>
    <w:p w:rsidR="003C1BEA" w:rsidRPr="009F7625" w:rsidRDefault="00727C11"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w:t>
      </w:r>
      <w:r w:rsidR="003C1BEA" w:rsidRPr="009F7625">
        <w:rPr>
          <w:sz w:val="28"/>
          <w:szCs w:val="28"/>
        </w:rPr>
        <w:t xml:space="preserve"> Trong Thông báo </w:t>
      </w:r>
      <w:r w:rsidR="00F60DC9" w:rsidRPr="009F7625">
        <w:rPr>
          <w:sz w:val="28"/>
          <w:szCs w:val="28"/>
        </w:rPr>
        <w:t>“T</w:t>
      </w:r>
      <w:r w:rsidR="003C1BEA" w:rsidRPr="009F7625">
        <w:rPr>
          <w:sz w:val="28"/>
          <w:szCs w:val="28"/>
        </w:rPr>
        <w:t xml:space="preserve">ầm nhìn </w:t>
      </w:r>
      <w:r w:rsidR="00F60DC9" w:rsidRPr="009F7625">
        <w:rPr>
          <w:sz w:val="28"/>
          <w:szCs w:val="28"/>
        </w:rPr>
        <w:t>về</w:t>
      </w:r>
      <w:r w:rsidR="003C1BEA" w:rsidRPr="009F7625">
        <w:rPr>
          <w:sz w:val="28"/>
          <w:szCs w:val="28"/>
        </w:rPr>
        <w:t xml:space="preserve"> Nông nghiệp và Thực phẩm</w:t>
      </w:r>
      <w:r w:rsidR="00F60DC9" w:rsidRPr="009F7625">
        <w:rPr>
          <w:sz w:val="28"/>
          <w:szCs w:val="28"/>
        </w:rPr>
        <w:t>”</w:t>
      </w:r>
      <w:r w:rsidR="003C1BEA" w:rsidRPr="009F7625">
        <w:rPr>
          <w:sz w:val="28"/>
          <w:szCs w:val="28"/>
        </w:rPr>
        <w:t xml:space="preserve">, Ủy ban Châu Âu đã công bố một </w:t>
      </w:r>
      <w:r w:rsidR="00F60DC9" w:rsidRPr="009F7625">
        <w:rPr>
          <w:sz w:val="28"/>
          <w:szCs w:val="28"/>
        </w:rPr>
        <w:t xml:space="preserve">nhóm biện pháp </w:t>
      </w:r>
      <w:r w:rsidR="003C1BEA" w:rsidRPr="009F7625">
        <w:rPr>
          <w:sz w:val="28"/>
          <w:szCs w:val="28"/>
        </w:rPr>
        <w:t>đơn giản hóa</w:t>
      </w:r>
      <w:r w:rsidR="00F60DC9" w:rsidRPr="009F7625">
        <w:rPr>
          <w:sz w:val="28"/>
          <w:szCs w:val="28"/>
        </w:rPr>
        <w:t xml:space="preserve"> mang tính liên ngành, </w:t>
      </w:r>
      <w:r w:rsidR="003C1BEA" w:rsidRPr="009F7625">
        <w:rPr>
          <w:sz w:val="28"/>
          <w:szCs w:val="28"/>
        </w:rPr>
        <w:t xml:space="preserve">nhằm giảm </w:t>
      </w:r>
      <w:r w:rsidR="00F60DC9" w:rsidRPr="009F7625">
        <w:rPr>
          <w:sz w:val="28"/>
          <w:szCs w:val="28"/>
        </w:rPr>
        <w:t>thiểu các gánh nặng quy định</w:t>
      </w:r>
      <w:r w:rsidR="003C1BEA" w:rsidRPr="009F7625">
        <w:rPr>
          <w:sz w:val="28"/>
          <w:szCs w:val="28"/>
        </w:rPr>
        <w:t xml:space="preserve"> không </w:t>
      </w:r>
      <w:r w:rsidR="00F60DC9" w:rsidRPr="009F7625">
        <w:rPr>
          <w:sz w:val="28"/>
          <w:szCs w:val="28"/>
        </w:rPr>
        <w:t>cần thiết, đồng thờibảo đảm duy trì các tiêu chuẩn nghiêm ngặt về an toàn thực phẩm,</w:t>
      </w:r>
      <w:r w:rsidR="003C1BEA" w:rsidRPr="009F7625">
        <w:rPr>
          <w:sz w:val="28"/>
          <w:szCs w:val="28"/>
        </w:rPr>
        <w:t xml:space="preserve"> thức ăn chăn nuôi, sức khỏe con người và động vật, cũng như bảo vệ môi trường.</w:t>
      </w:r>
    </w:p>
    <w:p w:rsidR="006E774C"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w:t>
      </w:r>
      <w:r w:rsidR="00727C11" w:rsidRPr="009F7625">
        <w:rPr>
          <w:sz w:val="28"/>
          <w:szCs w:val="28"/>
        </w:rPr>
        <w:t>.</w:t>
      </w:r>
      <w:r w:rsidR="00191A96" w:rsidRPr="009F7625">
        <w:rPr>
          <w:sz w:val="28"/>
          <w:szCs w:val="28"/>
        </w:rPr>
        <w:t xml:space="preserve"> </w:t>
      </w:r>
      <w:r w:rsidR="006E774C" w:rsidRPr="009F7625">
        <w:rPr>
          <w:sz w:val="28"/>
          <w:szCs w:val="28"/>
        </w:rPr>
        <w:t>Quy định này sửa đổi mười văn bản pháp lý trong lĩnh vực an toàn thực phẩm và thức ăn chăn nuôi nhằm giải quyết một số yêu cầu và thủ tục đang gây gánh nặng đáng kể cho doanh nghiệp và các cơ quan có thẩm quyền thuộc các quốc gia thành viên. Các sửa đổi hướng tới mục tiêu nâng cao hiệu quả và hiệu quả về chi phí trong việc thực thi hệ thống pháp luật về thực phẩm và thức ăn chăn nuôi đối với doanh nghiệp, giảm gánh nặng đối với doanh nghiệp và các cơ quan quản lý, đồng thời vẫn bảo đảm duy trì mức độ bảo vệ cao đối với sức khỏe con người, sức khỏe động vật và môi trường.</w:t>
      </w:r>
    </w:p>
    <w:p w:rsidR="003C1BEA" w:rsidRPr="009F7625" w:rsidRDefault="00727C11"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w:t>
      </w:r>
      <w:r w:rsidR="003C1BEA" w:rsidRPr="009F7625">
        <w:rPr>
          <w:sz w:val="28"/>
          <w:szCs w:val="28"/>
        </w:rPr>
        <w:t xml:space="preserve"> Quy định (EC) số 1107/2009 quy định</w:t>
      </w:r>
      <w:r w:rsidR="00E137F3" w:rsidRPr="009F7625">
        <w:rPr>
          <w:sz w:val="28"/>
          <w:szCs w:val="28"/>
        </w:rPr>
        <w:t xml:space="preserve"> về</w:t>
      </w:r>
      <w:r w:rsidR="00191A96" w:rsidRPr="009F7625">
        <w:rPr>
          <w:sz w:val="28"/>
          <w:szCs w:val="28"/>
        </w:rPr>
        <w:t xml:space="preserve"> </w:t>
      </w:r>
      <w:r w:rsidR="00E137F3" w:rsidRPr="009F7625">
        <w:rPr>
          <w:sz w:val="28"/>
          <w:szCs w:val="28"/>
        </w:rPr>
        <w:t>trình tự, thủ tụcphê duyệt các</w:t>
      </w:r>
      <w:r w:rsidR="003C1BEA" w:rsidRPr="009F7625">
        <w:rPr>
          <w:sz w:val="28"/>
          <w:szCs w:val="28"/>
        </w:rPr>
        <w:t xml:space="preserve"> hoạt chất và cấp phép các sản phẩm bảo vệ thực vật trong Liên minh.</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w:t>
      </w:r>
      <w:r w:rsidR="00727C11" w:rsidRPr="009F7625">
        <w:rPr>
          <w:sz w:val="28"/>
          <w:szCs w:val="28"/>
        </w:rPr>
        <w:t>.</w:t>
      </w:r>
      <w:r w:rsidR="00191A96" w:rsidRPr="009F7625">
        <w:rPr>
          <w:sz w:val="28"/>
          <w:szCs w:val="28"/>
        </w:rPr>
        <w:t xml:space="preserve"> </w:t>
      </w:r>
      <w:r w:rsidR="00E137F3" w:rsidRPr="009F7625">
        <w:rPr>
          <w:sz w:val="28"/>
          <w:szCs w:val="28"/>
        </w:rPr>
        <w:t xml:space="preserve">Nhằm </w:t>
      </w:r>
      <w:r w:rsidRPr="009F7625">
        <w:rPr>
          <w:sz w:val="28"/>
          <w:szCs w:val="28"/>
        </w:rPr>
        <w:t>giảm sự phụ thuộc của nông dân vào các sản phẩm bảo vệ thực vật chứa hoạt chất hóa học</w:t>
      </w:r>
      <w:r w:rsidR="00E137F3" w:rsidRPr="009F7625">
        <w:rPr>
          <w:sz w:val="28"/>
          <w:szCs w:val="28"/>
        </w:rPr>
        <w:t>, đồng thời</w:t>
      </w:r>
      <w:r w:rsidRPr="009F7625">
        <w:rPr>
          <w:sz w:val="28"/>
          <w:szCs w:val="28"/>
        </w:rPr>
        <w:t xml:space="preserve"> phù hợp với </w:t>
      </w:r>
      <w:r w:rsidR="00E137F3" w:rsidRPr="009F7625">
        <w:rPr>
          <w:sz w:val="28"/>
          <w:szCs w:val="28"/>
        </w:rPr>
        <w:t xml:space="preserve">định hướng được nêu </w:t>
      </w:r>
      <w:r w:rsidRPr="009F7625">
        <w:rPr>
          <w:sz w:val="28"/>
          <w:szCs w:val="28"/>
        </w:rPr>
        <w:t xml:space="preserve">trong Thông báo </w:t>
      </w:r>
      <w:r w:rsidR="00E137F3" w:rsidRPr="009F7625">
        <w:rPr>
          <w:sz w:val="28"/>
          <w:szCs w:val="28"/>
        </w:rPr>
        <w:t>“</w:t>
      </w:r>
      <w:r w:rsidRPr="009F7625">
        <w:rPr>
          <w:sz w:val="28"/>
          <w:szCs w:val="28"/>
        </w:rPr>
        <w:t xml:space="preserve">Tầm nhìn </w:t>
      </w:r>
      <w:r w:rsidR="00E137F3" w:rsidRPr="009F7625">
        <w:rPr>
          <w:sz w:val="28"/>
          <w:szCs w:val="28"/>
        </w:rPr>
        <w:t xml:space="preserve">về </w:t>
      </w:r>
      <w:r w:rsidRPr="009F7625">
        <w:rPr>
          <w:sz w:val="28"/>
          <w:szCs w:val="28"/>
        </w:rPr>
        <w:t>Nông nghiệp và Thực phẩm</w:t>
      </w:r>
      <w:r w:rsidR="00E137F3" w:rsidRPr="009F7625">
        <w:rPr>
          <w:sz w:val="28"/>
          <w:szCs w:val="28"/>
        </w:rPr>
        <w:t>”</w:t>
      </w:r>
      <w:r w:rsidRPr="009F7625">
        <w:rPr>
          <w:sz w:val="28"/>
          <w:szCs w:val="28"/>
        </w:rPr>
        <w:t xml:space="preserve">, cần tăng cường khả năng </w:t>
      </w:r>
      <w:r w:rsidRPr="009F7625">
        <w:rPr>
          <w:sz w:val="28"/>
          <w:szCs w:val="28"/>
        </w:rPr>
        <w:lastRenderedPageBreak/>
        <w:t xml:space="preserve">tiếp cận và tính sẵn có của các sản phẩm bảo vệ thực </w:t>
      </w:r>
      <w:r w:rsidR="001B580E" w:rsidRPr="009F7625">
        <w:rPr>
          <w:sz w:val="28"/>
          <w:szCs w:val="28"/>
        </w:rPr>
        <w:t>vật bền vững,</w:t>
      </w:r>
      <w:r w:rsidRPr="009F7625">
        <w:rPr>
          <w:sz w:val="28"/>
          <w:szCs w:val="28"/>
        </w:rPr>
        <w:t xml:space="preserve">bao gồm các sản phẩm bảo vệ thực vật </w:t>
      </w:r>
      <w:r w:rsidR="00E137F3" w:rsidRPr="009F7625">
        <w:rPr>
          <w:sz w:val="28"/>
          <w:szCs w:val="28"/>
        </w:rPr>
        <w:t xml:space="preserve">có </w:t>
      </w:r>
      <w:r w:rsidRPr="009F7625">
        <w:rPr>
          <w:sz w:val="28"/>
          <w:szCs w:val="28"/>
        </w:rPr>
        <w:t>chứa các chất kiểm soát sinh học (biocontrol substances).</w:t>
      </w:r>
    </w:p>
    <w:p w:rsidR="003C1BEA" w:rsidRPr="009F7625" w:rsidRDefault="00727C11"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w:t>
      </w:r>
      <w:r w:rsidR="00191A96" w:rsidRPr="009F7625">
        <w:rPr>
          <w:sz w:val="28"/>
          <w:szCs w:val="28"/>
        </w:rPr>
        <w:t xml:space="preserve"> </w:t>
      </w:r>
      <w:r w:rsidR="00E137F3" w:rsidRPr="009F7625">
        <w:rPr>
          <w:sz w:val="28"/>
          <w:szCs w:val="28"/>
        </w:rPr>
        <w:t>Nhằm tạo điều kiện để các chất kiểm soát sinh học và sản phẩm chứa các chất này tiếp cận thị trường nhanh chóng hơn, các chất kiểm soát sinh học cần được định nghĩa và nhận diện rõ ràng hơn theo Quy định (EC) số 1107/2009. Định nghĩa về các chất kiểm soát sinh học cần bao gồm các vi sinh vật; các chất vô cơ tồn tại trong tự nhiên</w:t>
      </w:r>
      <w:r w:rsidR="003C5CF2" w:rsidRPr="009F7625">
        <w:rPr>
          <w:sz w:val="28"/>
          <w:szCs w:val="28"/>
        </w:rPr>
        <w:t xml:space="preserve">, </w:t>
      </w:r>
      <w:r w:rsidR="00E137F3" w:rsidRPr="009F7625">
        <w:rPr>
          <w:sz w:val="28"/>
          <w:szCs w:val="28"/>
        </w:rPr>
        <w:t>ngoại trừ kim loại nặng và các hợp chất muối của chúng</w:t>
      </w:r>
      <w:r w:rsidR="003C5CF2" w:rsidRPr="009F7625">
        <w:rPr>
          <w:sz w:val="28"/>
          <w:szCs w:val="28"/>
        </w:rPr>
        <w:t>;</w:t>
      </w:r>
      <w:r w:rsidR="00E137F3" w:rsidRPr="009F7625">
        <w:rPr>
          <w:sz w:val="28"/>
          <w:szCs w:val="28"/>
        </w:rPr>
        <w:t xml:space="preserve"> hoặc các chất có nguồn gốc sinh học hoặc được sản xuất tổng hợp</w:t>
      </w:r>
      <w:r w:rsidR="003C5CF2" w:rsidRPr="009F7625">
        <w:rPr>
          <w:sz w:val="28"/>
          <w:szCs w:val="28"/>
        </w:rPr>
        <w:t xml:space="preserve"> nhưng</w:t>
      </w:r>
      <w:r w:rsidR="00E137F3" w:rsidRPr="009F7625">
        <w:rPr>
          <w:sz w:val="28"/>
          <w:szCs w:val="28"/>
        </w:rPr>
        <w:t xml:space="preserve"> có chức năng đồng nhất và cấu trúc tương tự, </w:t>
      </w:r>
      <w:r w:rsidR="003C5CF2" w:rsidRPr="009F7625">
        <w:rPr>
          <w:sz w:val="28"/>
          <w:szCs w:val="28"/>
        </w:rPr>
        <w:t>như các chất hóa tín hiệu (semiochemicals), các đại phân tử sinh học hoặc các phân tử được cấu thành từ các thành phần của chúng; cũng như các chất, bao gồm cả các chất có thành phần chưa xác định hoặc biến đổi, có nguồn gốc từ các sinh vật sống hoặc được tạo ra từ các quá trình sinh học (ví dụ: dịch chiết từ các sản phẩm thực vật, các chất chuyển hóa do vi sinh vật tạo ra)</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6</w:t>
      </w:r>
      <w:r w:rsidR="00727C11" w:rsidRPr="009F7625">
        <w:rPr>
          <w:sz w:val="28"/>
          <w:szCs w:val="28"/>
        </w:rPr>
        <w:t>.</w:t>
      </w:r>
      <w:r w:rsidR="00191A96" w:rsidRPr="009F7625">
        <w:rPr>
          <w:sz w:val="28"/>
          <w:szCs w:val="28"/>
        </w:rPr>
        <w:t xml:space="preserve"> </w:t>
      </w:r>
      <w:r w:rsidR="003C5CF2" w:rsidRPr="009F7625">
        <w:rPr>
          <w:sz w:val="28"/>
          <w:szCs w:val="28"/>
        </w:rPr>
        <w:t xml:space="preserve">Do </w:t>
      </w:r>
      <w:r w:rsidRPr="009F7625">
        <w:rPr>
          <w:sz w:val="28"/>
          <w:szCs w:val="28"/>
        </w:rPr>
        <w:t xml:space="preserve">nhiều chất kiểm soát sinh học cũng có thể có chức năng kích thích sinh trưởng </w:t>
      </w:r>
      <w:r w:rsidR="003C5CF2" w:rsidRPr="009F7625">
        <w:rPr>
          <w:sz w:val="28"/>
          <w:szCs w:val="28"/>
        </w:rPr>
        <w:t>thực vật</w:t>
      </w:r>
      <w:r w:rsidRPr="009F7625">
        <w:rPr>
          <w:sz w:val="28"/>
          <w:szCs w:val="28"/>
        </w:rPr>
        <w:t xml:space="preserve">, cần thiết lập ranh giới rõ ràng hơn đối với các sản phẩm phân bón, đặc biệt là chất kích thích sinh học thực vật (plant biostimulants) theo quy định tại Quy định (EU) số 2019/1009 về việc đưa ra thị trường các sản phẩm phân bón EU. </w:t>
      </w:r>
      <w:r w:rsidR="003C5CF2" w:rsidRPr="009F7625">
        <w:rPr>
          <w:sz w:val="28"/>
          <w:szCs w:val="28"/>
        </w:rPr>
        <w:t xml:space="preserve">Theo </w:t>
      </w:r>
      <w:r w:rsidRPr="009F7625">
        <w:rPr>
          <w:sz w:val="28"/>
          <w:szCs w:val="28"/>
        </w:rPr>
        <w:t xml:space="preserve">đó, </w:t>
      </w:r>
      <w:r w:rsidR="003C5CF2" w:rsidRPr="009F7625">
        <w:rPr>
          <w:sz w:val="28"/>
          <w:szCs w:val="28"/>
        </w:rPr>
        <w:t xml:space="preserve">cần làm rõ </w:t>
      </w:r>
      <w:r w:rsidRPr="009F7625">
        <w:rPr>
          <w:sz w:val="28"/>
          <w:szCs w:val="28"/>
        </w:rPr>
        <w:t xml:space="preserve">phạm vi điều chỉnh của Quy định (EC) số 1107/2009 để loại trừ các chất </w:t>
      </w:r>
      <w:r w:rsidR="003C5CF2" w:rsidRPr="009F7625">
        <w:rPr>
          <w:sz w:val="28"/>
          <w:szCs w:val="28"/>
        </w:rPr>
        <w:t>có tác động</w:t>
      </w:r>
      <w:r w:rsidRPr="009F7625">
        <w:rPr>
          <w:sz w:val="28"/>
          <w:szCs w:val="28"/>
        </w:rPr>
        <w:t xml:space="preserve"> tích cực đến quá trình sống của cây trồng, vì các chất </w:t>
      </w:r>
      <w:r w:rsidR="003C5CF2" w:rsidRPr="009F7625">
        <w:rPr>
          <w:sz w:val="28"/>
          <w:szCs w:val="28"/>
        </w:rPr>
        <w:t>này được xem</w:t>
      </w:r>
      <w:r w:rsidRPr="009F7625">
        <w:rPr>
          <w:sz w:val="28"/>
          <w:szCs w:val="28"/>
        </w:rPr>
        <w:t xml:space="preserve"> là chất kích thích sinh học thực vật </w:t>
      </w:r>
      <w:r w:rsidR="003C5CF2" w:rsidRPr="009F7625">
        <w:rPr>
          <w:sz w:val="28"/>
          <w:szCs w:val="28"/>
        </w:rPr>
        <w:t xml:space="preserve">theo </w:t>
      </w:r>
      <w:r w:rsidRPr="009F7625">
        <w:rPr>
          <w:sz w:val="28"/>
          <w:szCs w:val="28"/>
        </w:rPr>
        <w:t>góc độ sinh lý thực vật. Các chất can thiệp vào quá trình sống của thực vật và kiểm soát sự sinh trưởng của thực vật hoặc các bộ phận của chúng, nên nằm trong phạm vi điều chỉnh của Quy định (EC) số 1107/2009.</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7</w:t>
      </w:r>
      <w:r w:rsidR="00727C11" w:rsidRPr="009F7625">
        <w:rPr>
          <w:sz w:val="28"/>
          <w:szCs w:val="28"/>
        </w:rPr>
        <w:t>.</w:t>
      </w:r>
      <w:r w:rsidR="00191A96" w:rsidRPr="009F7625">
        <w:rPr>
          <w:sz w:val="28"/>
          <w:szCs w:val="28"/>
        </w:rPr>
        <w:t xml:space="preserve"> </w:t>
      </w:r>
      <w:r w:rsidR="003C5CF2" w:rsidRPr="009F7625">
        <w:rPr>
          <w:sz w:val="28"/>
          <w:szCs w:val="28"/>
        </w:rPr>
        <w:t>Cùng mục tiêu đó</w:t>
      </w:r>
      <w:r w:rsidRPr="009F7625">
        <w:rPr>
          <w:sz w:val="28"/>
          <w:szCs w:val="28"/>
        </w:rPr>
        <w:t xml:space="preserve">, việc </w:t>
      </w:r>
      <w:r w:rsidR="00503380" w:rsidRPr="009F7625">
        <w:rPr>
          <w:sz w:val="28"/>
          <w:szCs w:val="28"/>
        </w:rPr>
        <w:t>đánh giá</w:t>
      </w:r>
      <w:r w:rsidR="00191A96" w:rsidRPr="009F7625">
        <w:rPr>
          <w:sz w:val="28"/>
          <w:szCs w:val="28"/>
        </w:rPr>
        <w:t xml:space="preserve"> </w:t>
      </w:r>
      <w:r w:rsidR="003C5CF2" w:rsidRPr="009F7625">
        <w:rPr>
          <w:sz w:val="28"/>
          <w:szCs w:val="28"/>
        </w:rPr>
        <w:t>hồ sơ đề nghị</w:t>
      </w:r>
      <w:r w:rsidRPr="009F7625">
        <w:rPr>
          <w:sz w:val="28"/>
          <w:szCs w:val="28"/>
        </w:rPr>
        <w:t xml:space="preserve"> phê duyệt các hoạt chất </w:t>
      </w:r>
      <w:r w:rsidR="003C5CF2" w:rsidRPr="009F7625">
        <w:rPr>
          <w:sz w:val="28"/>
          <w:szCs w:val="28"/>
        </w:rPr>
        <w:t>này</w:t>
      </w:r>
      <w:r w:rsidRPr="009F7625">
        <w:rPr>
          <w:sz w:val="28"/>
          <w:szCs w:val="28"/>
        </w:rPr>
        <w:t xml:space="preserve"> và cấp phép các sản phẩm bảo vệ thực vật chứa chúng cần được ưu tiên </w:t>
      </w:r>
      <w:r w:rsidR="003C5CF2" w:rsidRPr="009F7625">
        <w:rPr>
          <w:sz w:val="28"/>
          <w:szCs w:val="28"/>
        </w:rPr>
        <w:t xml:space="preserve">nhằm </w:t>
      </w:r>
      <w:r w:rsidRPr="009F7625">
        <w:rPr>
          <w:sz w:val="28"/>
          <w:szCs w:val="28"/>
        </w:rPr>
        <w:t xml:space="preserve">bảo vệ cây trồng kịp thời </w:t>
      </w:r>
      <w:r w:rsidR="003C5CF2" w:rsidRPr="009F7625">
        <w:rPr>
          <w:sz w:val="28"/>
          <w:szCs w:val="28"/>
        </w:rPr>
        <w:t xml:space="preserve">trước </w:t>
      </w:r>
      <w:r w:rsidRPr="009F7625">
        <w:rPr>
          <w:sz w:val="28"/>
          <w:szCs w:val="28"/>
        </w:rPr>
        <w:t xml:space="preserve">các loài gây hại và </w:t>
      </w:r>
      <w:r w:rsidR="003C5CF2" w:rsidRPr="009F7625">
        <w:rPr>
          <w:sz w:val="28"/>
          <w:szCs w:val="28"/>
        </w:rPr>
        <w:t xml:space="preserve">dịch bệnh </w:t>
      </w:r>
      <w:r w:rsidRPr="009F7625">
        <w:rPr>
          <w:sz w:val="28"/>
          <w:szCs w:val="28"/>
        </w:rPr>
        <w:t>hiện có.</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8</w:t>
      </w:r>
      <w:r w:rsidR="00727C11" w:rsidRPr="009F7625">
        <w:rPr>
          <w:sz w:val="28"/>
          <w:szCs w:val="28"/>
        </w:rPr>
        <w:t>.</w:t>
      </w:r>
      <w:r w:rsidRPr="009F7625">
        <w:rPr>
          <w:sz w:val="28"/>
          <w:szCs w:val="28"/>
        </w:rPr>
        <w:t xml:space="preserve"> Việc đánh giá rủi ro đối với các chất kiểm soát sinh học đòi hỏi kiến thức kỹ thuật</w:t>
      </w:r>
      <w:r w:rsidR="002524AC" w:rsidRPr="009F7625">
        <w:rPr>
          <w:sz w:val="28"/>
          <w:szCs w:val="28"/>
        </w:rPr>
        <w:t xml:space="preserve"> chuyên sâu,trong khi</w:t>
      </w:r>
      <w:r w:rsidRPr="009F7625">
        <w:rPr>
          <w:sz w:val="28"/>
          <w:szCs w:val="28"/>
        </w:rPr>
        <w:t xml:space="preserve"> một số </w:t>
      </w:r>
      <w:r w:rsidR="002524AC" w:rsidRPr="009F7625">
        <w:rPr>
          <w:sz w:val="28"/>
          <w:szCs w:val="28"/>
        </w:rPr>
        <w:t xml:space="preserve">quốc </w:t>
      </w:r>
      <w:r w:rsidRPr="009F7625">
        <w:rPr>
          <w:sz w:val="28"/>
          <w:szCs w:val="28"/>
        </w:rPr>
        <w:t xml:space="preserve">gia </w:t>
      </w:r>
      <w:r w:rsidR="002524AC" w:rsidRPr="009F7625">
        <w:rPr>
          <w:sz w:val="28"/>
          <w:szCs w:val="28"/>
        </w:rPr>
        <w:t xml:space="preserve">thành </w:t>
      </w:r>
      <w:r w:rsidRPr="009F7625">
        <w:rPr>
          <w:sz w:val="28"/>
          <w:szCs w:val="28"/>
        </w:rPr>
        <w:t xml:space="preserve">viên không có đủ chuyên gia </w:t>
      </w:r>
      <w:r w:rsidR="002524AC" w:rsidRPr="009F7625">
        <w:rPr>
          <w:sz w:val="28"/>
          <w:szCs w:val="28"/>
        </w:rPr>
        <w:t>về loại hình đánh giá này</w:t>
      </w:r>
      <w:r w:rsidRPr="009F7625">
        <w:rPr>
          <w:sz w:val="28"/>
          <w:szCs w:val="28"/>
        </w:rPr>
        <w:t xml:space="preserve">. Do đó, một số </w:t>
      </w:r>
      <w:r w:rsidR="002524AC" w:rsidRPr="009F7625">
        <w:rPr>
          <w:sz w:val="28"/>
          <w:szCs w:val="28"/>
        </w:rPr>
        <w:t>tổ chức, cá nhân nộp hồ sơ đề nghị</w:t>
      </w:r>
      <w:r w:rsidRPr="009F7625">
        <w:rPr>
          <w:sz w:val="28"/>
          <w:szCs w:val="28"/>
        </w:rPr>
        <w:t xml:space="preserve"> phê duyệt chất kiểm soát sinh học gặp khó khăn trong việc tìm kiếm </w:t>
      </w:r>
      <w:r w:rsidR="002524AC" w:rsidRPr="009F7625">
        <w:rPr>
          <w:sz w:val="28"/>
          <w:szCs w:val="28"/>
        </w:rPr>
        <w:t xml:space="preserve">quốc </w:t>
      </w:r>
      <w:r w:rsidRPr="009F7625">
        <w:rPr>
          <w:sz w:val="28"/>
          <w:szCs w:val="28"/>
        </w:rPr>
        <w:t xml:space="preserve">gia </w:t>
      </w:r>
      <w:r w:rsidR="002524AC" w:rsidRPr="009F7625">
        <w:rPr>
          <w:sz w:val="28"/>
          <w:szCs w:val="28"/>
        </w:rPr>
        <w:t xml:space="preserve">thành </w:t>
      </w:r>
      <w:r w:rsidRPr="009F7625">
        <w:rPr>
          <w:sz w:val="28"/>
          <w:szCs w:val="28"/>
        </w:rPr>
        <w:t>viên</w:t>
      </w:r>
      <w:r w:rsidR="002524AC" w:rsidRPr="009F7625">
        <w:rPr>
          <w:sz w:val="28"/>
          <w:szCs w:val="28"/>
        </w:rPr>
        <w:t xml:space="preserve"> báo cáo (</w:t>
      </w:r>
      <w:r w:rsidR="004847F6" w:rsidRPr="009F7625">
        <w:rPr>
          <w:sz w:val="28"/>
          <w:szCs w:val="28"/>
        </w:rPr>
        <w:t xml:space="preserve">rapporteur </w:t>
      </w:r>
      <w:r w:rsidR="002524AC" w:rsidRPr="009F7625">
        <w:rPr>
          <w:sz w:val="28"/>
          <w:szCs w:val="28"/>
        </w:rPr>
        <w:t>Member State)</w:t>
      </w:r>
      <w:r w:rsidRPr="009F7625">
        <w:rPr>
          <w:sz w:val="28"/>
          <w:szCs w:val="28"/>
        </w:rPr>
        <w:t xml:space="preserve">. </w:t>
      </w:r>
      <w:r w:rsidR="002524AC" w:rsidRPr="009F7625">
        <w:rPr>
          <w:sz w:val="28"/>
          <w:szCs w:val="28"/>
        </w:rPr>
        <w:t xml:space="preserve">Nhằm nâng cao </w:t>
      </w:r>
      <w:r w:rsidRPr="009F7625">
        <w:rPr>
          <w:sz w:val="28"/>
          <w:szCs w:val="28"/>
        </w:rPr>
        <w:t>năng lực đánh giá các chất kiểm soát sinh học mới, Cơ quan An toàn Thực phẩm Châu Âu (</w:t>
      </w:r>
      <w:r w:rsidR="002524AC" w:rsidRPr="009F7625">
        <w:rPr>
          <w:sz w:val="28"/>
          <w:szCs w:val="28"/>
        </w:rPr>
        <w:t xml:space="preserve">sau đây gọi tắt là Cơ </w:t>
      </w:r>
      <w:r w:rsidRPr="009F7625">
        <w:rPr>
          <w:sz w:val="28"/>
          <w:szCs w:val="28"/>
        </w:rPr>
        <w:t xml:space="preserve">quan) </w:t>
      </w:r>
      <w:r w:rsidR="002524AC" w:rsidRPr="009F7625">
        <w:rPr>
          <w:sz w:val="28"/>
          <w:szCs w:val="28"/>
        </w:rPr>
        <w:t xml:space="preserve">cần có khả năng </w:t>
      </w:r>
      <w:r w:rsidRPr="009F7625">
        <w:rPr>
          <w:sz w:val="28"/>
          <w:szCs w:val="28"/>
        </w:rPr>
        <w:t xml:space="preserve">đảm nhận vai trò của </w:t>
      </w:r>
      <w:r w:rsidR="002524AC" w:rsidRPr="009F7625">
        <w:rPr>
          <w:sz w:val="28"/>
          <w:szCs w:val="28"/>
        </w:rPr>
        <w:t xml:space="preserve">quốc </w:t>
      </w:r>
      <w:r w:rsidRPr="009F7625">
        <w:rPr>
          <w:sz w:val="28"/>
          <w:szCs w:val="28"/>
        </w:rPr>
        <w:t xml:space="preserve">gia </w:t>
      </w:r>
      <w:r w:rsidR="002524AC" w:rsidRPr="009F7625">
        <w:rPr>
          <w:sz w:val="28"/>
          <w:szCs w:val="28"/>
        </w:rPr>
        <w:t xml:space="preserve">thành </w:t>
      </w:r>
      <w:r w:rsidRPr="009F7625">
        <w:rPr>
          <w:sz w:val="28"/>
          <w:szCs w:val="28"/>
        </w:rPr>
        <w:t xml:space="preserve">viên báo cáo </w:t>
      </w:r>
      <w:r w:rsidR="002524AC" w:rsidRPr="009F7625">
        <w:rPr>
          <w:sz w:val="28"/>
          <w:szCs w:val="28"/>
        </w:rPr>
        <w:t xml:space="preserve">trong việc </w:t>
      </w:r>
      <w:r w:rsidR="00503380" w:rsidRPr="009F7625">
        <w:rPr>
          <w:sz w:val="28"/>
          <w:szCs w:val="28"/>
        </w:rPr>
        <w:t>đánh giá</w:t>
      </w:r>
      <w:r w:rsidR="002524AC" w:rsidRPr="009F7625">
        <w:rPr>
          <w:sz w:val="28"/>
          <w:szCs w:val="28"/>
        </w:rPr>
        <w:t xml:space="preserve"> các hồ sơ đề nghị</w:t>
      </w:r>
      <w:r w:rsidRPr="009F7625">
        <w:rPr>
          <w:sz w:val="28"/>
          <w:szCs w:val="28"/>
        </w:rPr>
        <w:t xml:space="preserve"> phê duyệt</w:t>
      </w:r>
      <w:r w:rsidR="002524AC" w:rsidRPr="009F7625">
        <w:rPr>
          <w:sz w:val="28"/>
          <w:szCs w:val="28"/>
        </w:rPr>
        <w:t>, đồng thời</w:t>
      </w:r>
      <w:r w:rsidRPr="009F7625">
        <w:rPr>
          <w:sz w:val="28"/>
          <w:szCs w:val="28"/>
        </w:rPr>
        <w:t xml:space="preserve"> nguồn lực của Cơ quan </w:t>
      </w:r>
      <w:r w:rsidR="002524AC" w:rsidRPr="009F7625">
        <w:rPr>
          <w:sz w:val="28"/>
          <w:szCs w:val="28"/>
        </w:rPr>
        <w:t xml:space="preserve">này </w:t>
      </w:r>
      <w:r w:rsidRPr="009F7625">
        <w:rPr>
          <w:sz w:val="28"/>
          <w:szCs w:val="28"/>
        </w:rPr>
        <w:t xml:space="preserve">cần được tăng cường tương ứng. Cơ quan cần đưa ra các </w:t>
      </w:r>
      <w:r w:rsidR="002524AC" w:rsidRPr="009F7625">
        <w:rPr>
          <w:sz w:val="28"/>
          <w:szCs w:val="28"/>
        </w:rPr>
        <w:t>cơ chế bảo đảmphù hợp nhằm</w:t>
      </w:r>
      <w:r w:rsidRPr="009F7625">
        <w:rPr>
          <w:sz w:val="28"/>
          <w:szCs w:val="28"/>
        </w:rPr>
        <w:t xml:space="preserve"> đảm bảo tính độc lập của quá trình </w:t>
      </w:r>
      <w:r w:rsidR="002524AC" w:rsidRPr="009F7625">
        <w:rPr>
          <w:sz w:val="28"/>
          <w:szCs w:val="28"/>
        </w:rPr>
        <w:t>đánh giá đồng cấp</w:t>
      </w:r>
      <w:r w:rsidRPr="009F7625">
        <w:rPr>
          <w:sz w:val="28"/>
          <w:szCs w:val="28"/>
        </w:rPr>
        <w:t xml:space="preserve"> (peer review) tiếp theo và tránh mọi xung đột lợi ích có thể xảy ra đối với các chuyên gia tham gia ở các </w:t>
      </w:r>
      <w:r w:rsidR="002524AC" w:rsidRPr="009F7625">
        <w:rPr>
          <w:sz w:val="28"/>
          <w:szCs w:val="28"/>
        </w:rPr>
        <w:t>khâu</w:t>
      </w:r>
      <w:r w:rsidRPr="009F7625">
        <w:rPr>
          <w:sz w:val="28"/>
          <w:szCs w:val="28"/>
        </w:rPr>
        <w:t xml:space="preserve"> đánh giá khác nhau</w:t>
      </w:r>
      <w:r w:rsidR="002524AC" w:rsidRPr="009F7625">
        <w:rPr>
          <w:sz w:val="28"/>
          <w:szCs w:val="28"/>
        </w:rPr>
        <w:t xml:space="preserve"> của quá trình </w:t>
      </w:r>
      <w:r w:rsidR="00503380" w:rsidRPr="009F7625">
        <w:rPr>
          <w:sz w:val="28"/>
          <w:szCs w:val="28"/>
        </w:rPr>
        <w:t>đánh giá</w:t>
      </w:r>
      <w:r w:rsidR="002524AC"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9</w:t>
      </w:r>
      <w:r w:rsidR="00727C11" w:rsidRPr="009F7625">
        <w:rPr>
          <w:sz w:val="28"/>
          <w:szCs w:val="28"/>
        </w:rPr>
        <w:t>.</w:t>
      </w:r>
      <w:r w:rsidR="00191A96" w:rsidRPr="009F7625">
        <w:rPr>
          <w:sz w:val="28"/>
          <w:szCs w:val="28"/>
        </w:rPr>
        <w:t xml:space="preserve"> </w:t>
      </w:r>
      <w:r w:rsidR="002524AC" w:rsidRPr="009F7625">
        <w:rPr>
          <w:sz w:val="28"/>
          <w:szCs w:val="28"/>
        </w:rPr>
        <w:t xml:space="preserve">Nhằm </w:t>
      </w:r>
      <w:r w:rsidRPr="009F7625">
        <w:rPr>
          <w:sz w:val="28"/>
          <w:szCs w:val="28"/>
        </w:rPr>
        <w:t xml:space="preserve">đẩy nhanh khả năng tiếp cận và tính sẵn có của các sản phẩm bảo vệ thực vật chứa các chất kiểm soát sinh học mới cho nông dân, các </w:t>
      </w:r>
      <w:r w:rsidR="002524AC" w:rsidRPr="009F7625">
        <w:rPr>
          <w:sz w:val="28"/>
          <w:szCs w:val="28"/>
        </w:rPr>
        <w:t xml:space="preserve">quốc </w:t>
      </w:r>
      <w:r w:rsidRPr="009F7625">
        <w:rPr>
          <w:sz w:val="28"/>
          <w:szCs w:val="28"/>
        </w:rPr>
        <w:t xml:space="preserve">gia </w:t>
      </w:r>
      <w:r w:rsidR="002524AC" w:rsidRPr="009F7625">
        <w:rPr>
          <w:sz w:val="28"/>
          <w:szCs w:val="28"/>
        </w:rPr>
        <w:t xml:space="preserve">thành </w:t>
      </w:r>
      <w:r w:rsidRPr="009F7625">
        <w:rPr>
          <w:sz w:val="28"/>
          <w:szCs w:val="28"/>
        </w:rPr>
        <w:t xml:space="preserve">viên </w:t>
      </w:r>
      <w:r w:rsidR="002524AC" w:rsidRPr="009F7625">
        <w:rPr>
          <w:sz w:val="28"/>
          <w:szCs w:val="28"/>
        </w:rPr>
        <w:t xml:space="preserve">cần được </w:t>
      </w:r>
      <w:r w:rsidRPr="009F7625">
        <w:rPr>
          <w:sz w:val="28"/>
          <w:szCs w:val="28"/>
        </w:rPr>
        <w:t xml:space="preserve">cấp phép tạm thời cho các sản phẩm </w:t>
      </w:r>
      <w:r w:rsidR="002524AC" w:rsidRPr="009F7625">
        <w:rPr>
          <w:sz w:val="28"/>
          <w:szCs w:val="28"/>
        </w:rPr>
        <w:t xml:space="preserve">này </w:t>
      </w:r>
      <w:r w:rsidRPr="009F7625">
        <w:rPr>
          <w:sz w:val="28"/>
          <w:szCs w:val="28"/>
        </w:rPr>
        <w:t xml:space="preserve">ngay sau khi </w:t>
      </w:r>
      <w:r w:rsidR="002524AC" w:rsidRPr="009F7625">
        <w:rPr>
          <w:sz w:val="28"/>
          <w:szCs w:val="28"/>
        </w:rPr>
        <w:t xml:space="preserve">dự </w:t>
      </w:r>
      <w:r w:rsidR="002524AC" w:rsidRPr="009F7625">
        <w:rPr>
          <w:sz w:val="28"/>
          <w:szCs w:val="28"/>
        </w:rPr>
        <w:lastRenderedPageBreak/>
        <w:t xml:space="preserve">thảo </w:t>
      </w:r>
      <w:r w:rsidRPr="009F7625">
        <w:rPr>
          <w:sz w:val="28"/>
          <w:szCs w:val="28"/>
        </w:rPr>
        <w:t xml:space="preserve">báo cáo </w:t>
      </w:r>
      <w:r w:rsidR="00503380" w:rsidRPr="009F7625">
        <w:rPr>
          <w:sz w:val="28"/>
          <w:szCs w:val="28"/>
        </w:rPr>
        <w:t>đánh giá</w:t>
      </w:r>
      <w:r w:rsidR="002524AC" w:rsidRPr="009F7625">
        <w:rPr>
          <w:sz w:val="28"/>
          <w:szCs w:val="28"/>
        </w:rPr>
        <w:t xml:space="preserve"> hồ sơ phê duyệt</w:t>
      </w:r>
      <w:r w:rsidRPr="009F7625">
        <w:rPr>
          <w:sz w:val="28"/>
          <w:szCs w:val="28"/>
        </w:rPr>
        <w:t xml:space="preserve"> kết luận rằng</w:t>
      </w:r>
      <w:r w:rsidR="00503380" w:rsidRPr="009F7625">
        <w:rPr>
          <w:sz w:val="28"/>
          <w:szCs w:val="28"/>
        </w:rPr>
        <w:t xml:space="preserve"> hoạt</w:t>
      </w:r>
      <w:r w:rsidRPr="009F7625">
        <w:rPr>
          <w:sz w:val="28"/>
          <w:szCs w:val="28"/>
        </w:rPr>
        <w:t xml:space="preserve"> chất đó có </w:t>
      </w:r>
      <w:r w:rsidR="00503380" w:rsidRPr="009F7625">
        <w:rPr>
          <w:sz w:val="28"/>
          <w:szCs w:val="28"/>
        </w:rPr>
        <w:t>đủ điều kiện phê duyệt</w:t>
      </w:r>
      <w:r w:rsidRPr="009F7625">
        <w:rPr>
          <w:sz w:val="28"/>
          <w:szCs w:val="28"/>
        </w:rPr>
        <w:t xml:space="preserve">. Khi chất kiểm soát sinh học mới được phê duyệt </w:t>
      </w:r>
      <w:r w:rsidR="00503380" w:rsidRPr="009F7625">
        <w:rPr>
          <w:sz w:val="28"/>
          <w:szCs w:val="28"/>
        </w:rPr>
        <w:t>chính thức, nhằm cắt giảm</w:t>
      </w:r>
      <w:r w:rsidRPr="009F7625">
        <w:rPr>
          <w:sz w:val="28"/>
          <w:szCs w:val="28"/>
        </w:rPr>
        <w:t xml:space="preserve"> các thủ tục hành chính không cần thiết, </w:t>
      </w:r>
      <w:r w:rsidR="00503380" w:rsidRPr="009F7625">
        <w:rPr>
          <w:sz w:val="28"/>
          <w:szCs w:val="28"/>
        </w:rPr>
        <w:t>các giấy phép tạm thời này phải có khả năng được chuyển đổi thành giấy phép lưu hành chính thức mà</w:t>
      </w:r>
      <w:r w:rsidRPr="009F7625">
        <w:rPr>
          <w:sz w:val="28"/>
          <w:szCs w:val="28"/>
        </w:rPr>
        <w:t xml:space="preserve"> không cần </w:t>
      </w:r>
      <w:r w:rsidR="00503380" w:rsidRPr="009F7625">
        <w:rPr>
          <w:sz w:val="28"/>
          <w:szCs w:val="28"/>
        </w:rPr>
        <w:t>đánh giá</w:t>
      </w:r>
      <w:r w:rsidRPr="009F7625">
        <w:rPr>
          <w:sz w:val="28"/>
          <w:szCs w:val="28"/>
        </w:rPr>
        <w:t xml:space="preserve"> lại</w:t>
      </w:r>
      <w:r w:rsidR="00503380" w:rsidRPr="009F7625">
        <w:rPr>
          <w:sz w:val="28"/>
          <w:szCs w:val="28"/>
        </w:rPr>
        <w:t>;</w:t>
      </w:r>
      <w:r w:rsidRPr="009F7625">
        <w:rPr>
          <w:sz w:val="28"/>
          <w:szCs w:val="28"/>
        </w:rPr>
        <w:t xml:space="preserve"> trừ </w:t>
      </w:r>
      <w:r w:rsidR="00503380" w:rsidRPr="009F7625">
        <w:rPr>
          <w:sz w:val="28"/>
          <w:szCs w:val="28"/>
        </w:rPr>
        <w:t xml:space="preserve">trường hợp </w:t>
      </w:r>
      <w:r w:rsidRPr="009F7625">
        <w:rPr>
          <w:sz w:val="28"/>
          <w:szCs w:val="28"/>
        </w:rPr>
        <w:t xml:space="preserve">các </w:t>
      </w:r>
      <w:r w:rsidR="00503380" w:rsidRPr="009F7625">
        <w:rPr>
          <w:sz w:val="28"/>
          <w:szCs w:val="28"/>
        </w:rPr>
        <w:t xml:space="preserve">nội dungphê duyệt yêu cầu </w:t>
      </w:r>
      <w:r w:rsidRPr="009F7625">
        <w:rPr>
          <w:sz w:val="28"/>
          <w:szCs w:val="28"/>
        </w:rPr>
        <w:t xml:space="preserve">sửa đổi các </w:t>
      </w:r>
      <w:r w:rsidR="00503380" w:rsidRPr="009F7625">
        <w:rPr>
          <w:sz w:val="28"/>
          <w:szCs w:val="28"/>
        </w:rPr>
        <w:t>nội dung đã quy định</w:t>
      </w:r>
      <w:r w:rsidRPr="009F7625">
        <w:rPr>
          <w:sz w:val="28"/>
          <w:szCs w:val="28"/>
        </w:rPr>
        <w:t xml:space="preserve"> trong giấy phép tạm thời.</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w:t>
      </w:r>
      <w:r w:rsidR="00727C11" w:rsidRPr="009F7625">
        <w:rPr>
          <w:sz w:val="28"/>
          <w:szCs w:val="28"/>
        </w:rPr>
        <w:t>0.</w:t>
      </w:r>
      <w:r w:rsidR="00191A96" w:rsidRPr="009F7625">
        <w:rPr>
          <w:sz w:val="28"/>
          <w:szCs w:val="28"/>
        </w:rPr>
        <w:t xml:space="preserve"> </w:t>
      </w:r>
      <w:r w:rsidR="00503380" w:rsidRPr="009F7625">
        <w:rPr>
          <w:sz w:val="28"/>
          <w:szCs w:val="28"/>
        </w:rPr>
        <w:t xml:space="preserve">Nhằm </w:t>
      </w:r>
      <w:r w:rsidRPr="009F7625">
        <w:rPr>
          <w:sz w:val="28"/>
          <w:szCs w:val="28"/>
        </w:rPr>
        <w:t>giảm</w:t>
      </w:r>
      <w:r w:rsidR="00503380" w:rsidRPr="009F7625">
        <w:rPr>
          <w:sz w:val="28"/>
          <w:szCs w:val="28"/>
        </w:rPr>
        <w:t xml:space="preserve"> thiểu</w:t>
      </w:r>
      <w:r w:rsidRPr="009F7625">
        <w:rPr>
          <w:sz w:val="28"/>
          <w:szCs w:val="28"/>
        </w:rPr>
        <w:t xml:space="preserve"> gánh nặng cho </w:t>
      </w:r>
      <w:r w:rsidR="00503380" w:rsidRPr="009F7625">
        <w:rPr>
          <w:sz w:val="28"/>
          <w:szCs w:val="28"/>
        </w:rPr>
        <w:t>các tổ chức, cá nhân nộp hồ sơ</w:t>
      </w:r>
      <w:r w:rsidRPr="009F7625">
        <w:rPr>
          <w:sz w:val="28"/>
          <w:szCs w:val="28"/>
        </w:rPr>
        <w:t xml:space="preserve"> và các </w:t>
      </w:r>
      <w:r w:rsidR="00503380" w:rsidRPr="009F7625">
        <w:rPr>
          <w:sz w:val="28"/>
          <w:szCs w:val="28"/>
        </w:rPr>
        <w:t xml:space="preserve">quốc </w:t>
      </w:r>
      <w:r w:rsidRPr="009F7625">
        <w:rPr>
          <w:sz w:val="28"/>
          <w:szCs w:val="28"/>
        </w:rPr>
        <w:t xml:space="preserve">gia </w:t>
      </w:r>
      <w:r w:rsidR="00503380" w:rsidRPr="009F7625">
        <w:rPr>
          <w:sz w:val="28"/>
          <w:szCs w:val="28"/>
        </w:rPr>
        <w:t xml:space="preserve">thành </w:t>
      </w:r>
      <w:r w:rsidRPr="009F7625">
        <w:rPr>
          <w:sz w:val="28"/>
          <w:szCs w:val="28"/>
        </w:rPr>
        <w:t>viên</w:t>
      </w:r>
      <w:r w:rsidR="00503380" w:rsidRPr="009F7625">
        <w:rPr>
          <w:sz w:val="28"/>
          <w:szCs w:val="28"/>
        </w:rPr>
        <w:t>, đồng thời</w:t>
      </w:r>
      <w:r w:rsidRPr="009F7625">
        <w:rPr>
          <w:sz w:val="28"/>
          <w:szCs w:val="28"/>
        </w:rPr>
        <w:t xml:space="preserve"> tạo điều kiện thuận lợi cho</w:t>
      </w:r>
      <w:r w:rsidR="00503380" w:rsidRPr="009F7625">
        <w:rPr>
          <w:sz w:val="28"/>
          <w:szCs w:val="28"/>
        </w:rPr>
        <w:t xml:space="preserve"> việc cung cấp các</w:t>
      </w:r>
      <w:r w:rsidRPr="009F7625">
        <w:rPr>
          <w:sz w:val="28"/>
          <w:szCs w:val="28"/>
        </w:rPr>
        <w:t xml:space="preserve"> sản phẩm bảo vệ thực vật chỉ chứa các chất kiểm soát sinh học hoặc hoạt chất </w:t>
      </w:r>
      <w:r w:rsidR="00503380" w:rsidRPr="009F7625">
        <w:rPr>
          <w:sz w:val="28"/>
          <w:szCs w:val="28"/>
        </w:rPr>
        <w:t>có nguy cơ</w:t>
      </w:r>
      <w:r w:rsidRPr="009F7625">
        <w:rPr>
          <w:sz w:val="28"/>
          <w:szCs w:val="28"/>
        </w:rPr>
        <w:t xml:space="preserve">, Liên minh </w:t>
      </w:r>
      <w:r w:rsidR="00503380" w:rsidRPr="009F7625">
        <w:rPr>
          <w:sz w:val="28"/>
          <w:szCs w:val="28"/>
        </w:rPr>
        <w:t xml:space="preserve">cần </w:t>
      </w:r>
      <w:r w:rsidRPr="009F7625">
        <w:rPr>
          <w:sz w:val="28"/>
          <w:szCs w:val="28"/>
        </w:rPr>
        <w:t xml:space="preserve">được </w:t>
      </w:r>
      <w:r w:rsidR="00503380" w:rsidRPr="009F7625">
        <w:rPr>
          <w:sz w:val="28"/>
          <w:szCs w:val="28"/>
        </w:rPr>
        <w:t>xem xét như một khu vực thống nhất</w:t>
      </w:r>
      <w:r w:rsidRPr="009F7625">
        <w:rPr>
          <w:sz w:val="28"/>
          <w:szCs w:val="28"/>
        </w:rPr>
        <w:t xml:space="preserve"> (one zone) đối với các </w:t>
      </w:r>
      <w:r w:rsidR="00503380" w:rsidRPr="009F7625">
        <w:rPr>
          <w:sz w:val="28"/>
          <w:szCs w:val="28"/>
        </w:rPr>
        <w:t xml:space="preserve">hồ sơ đề nghị </w:t>
      </w:r>
      <w:r w:rsidRPr="009F7625">
        <w:rPr>
          <w:sz w:val="28"/>
          <w:szCs w:val="28"/>
        </w:rPr>
        <w:t xml:space="preserve">cấp phép </w:t>
      </w:r>
      <w:r w:rsidR="00503380" w:rsidRPr="009F7625">
        <w:rPr>
          <w:sz w:val="28"/>
          <w:szCs w:val="28"/>
        </w:rPr>
        <w:t xml:space="preserve">cho </w:t>
      </w:r>
      <w:r w:rsidRPr="009F7625">
        <w:rPr>
          <w:sz w:val="28"/>
          <w:szCs w:val="28"/>
        </w:rPr>
        <w:t xml:space="preserve">các sản phẩm </w:t>
      </w:r>
      <w:r w:rsidR="00503380" w:rsidRPr="009F7625">
        <w:rPr>
          <w:sz w:val="28"/>
          <w:szCs w:val="28"/>
        </w:rPr>
        <w:t>này</w:t>
      </w:r>
      <w:r w:rsidRPr="009F7625">
        <w:rPr>
          <w:sz w:val="28"/>
          <w:szCs w:val="28"/>
        </w:rPr>
        <w:t xml:space="preserve">. </w:t>
      </w:r>
      <w:r w:rsidR="00503380" w:rsidRPr="009F7625">
        <w:rPr>
          <w:sz w:val="28"/>
          <w:szCs w:val="28"/>
        </w:rPr>
        <w:t>Trên cơ sở</w:t>
      </w:r>
      <w:r w:rsidRPr="009F7625">
        <w:rPr>
          <w:sz w:val="28"/>
          <w:szCs w:val="28"/>
        </w:rPr>
        <w:t xml:space="preserve"> các sản phẩm bảo vệ thực vật chỉ chứa các chất kiểm soát sinh học </w:t>
      </w:r>
      <w:r w:rsidR="00F86B6E" w:rsidRPr="009F7625">
        <w:rPr>
          <w:sz w:val="28"/>
          <w:szCs w:val="28"/>
        </w:rPr>
        <w:t xml:space="preserve">được nhận định là </w:t>
      </w:r>
      <w:r w:rsidR="00503380" w:rsidRPr="009F7625">
        <w:rPr>
          <w:sz w:val="28"/>
          <w:szCs w:val="28"/>
        </w:rPr>
        <w:t xml:space="preserve">không gây ra các </w:t>
      </w:r>
      <w:r w:rsidRPr="009F7625">
        <w:rPr>
          <w:sz w:val="28"/>
          <w:szCs w:val="28"/>
        </w:rPr>
        <w:t>mức độ rủi ro khác nhau</w:t>
      </w:r>
      <w:r w:rsidR="00F86B6E" w:rsidRPr="009F7625">
        <w:rPr>
          <w:sz w:val="28"/>
          <w:szCs w:val="28"/>
        </w:rPr>
        <w:t xml:space="preserve"> tại </w:t>
      </w:r>
      <w:r w:rsidRPr="009F7625">
        <w:rPr>
          <w:sz w:val="28"/>
          <w:szCs w:val="28"/>
        </w:rPr>
        <w:t xml:space="preserve">các </w:t>
      </w:r>
      <w:r w:rsidR="00503380" w:rsidRPr="009F7625">
        <w:rPr>
          <w:sz w:val="28"/>
          <w:szCs w:val="28"/>
        </w:rPr>
        <w:t xml:space="preserve">quốc </w:t>
      </w:r>
      <w:r w:rsidRPr="009F7625">
        <w:rPr>
          <w:sz w:val="28"/>
          <w:szCs w:val="28"/>
        </w:rPr>
        <w:t xml:space="preserve">gia </w:t>
      </w:r>
      <w:r w:rsidR="00503380" w:rsidRPr="009F7625">
        <w:rPr>
          <w:sz w:val="28"/>
          <w:szCs w:val="28"/>
        </w:rPr>
        <w:t xml:space="preserve">thành </w:t>
      </w:r>
      <w:r w:rsidRPr="009F7625">
        <w:rPr>
          <w:sz w:val="28"/>
          <w:szCs w:val="28"/>
        </w:rPr>
        <w:t xml:space="preserve">viên, </w:t>
      </w:r>
      <w:r w:rsidR="00F86B6E" w:rsidRPr="009F7625">
        <w:rPr>
          <w:sz w:val="28"/>
          <w:szCs w:val="28"/>
        </w:rPr>
        <w:t>việc công nhận lẫn nhau đối với giấy phép của các sản phẩm này do một quốc gia thành viên cấp được coi là đã được chấp thuận theo cơ chế mặc định (tacit agreement), nếu quyết định đối với hồ sơ đề nghị công nhận lẫn nhau không được ban hành trong thời hạn quy định</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11</w:t>
      </w:r>
      <w:r w:rsidR="00727C11" w:rsidRPr="009F7625">
        <w:rPr>
          <w:sz w:val="28"/>
          <w:szCs w:val="28"/>
        </w:rPr>
        <w:t>.</w:t>
      </w:r>
      <w:r w:rsidR="00191A96" w:rsidRPr="009F7625">
        <w:rPr>
          <w:sz w:val="28"/>
          <w:szCs w:val="28"/>
        </w:rPr>
        <w:t xml:space="preserve"> </w:t>
      </w:r>
      <w:r w:rsidR="001062B5" w:rsidRPr="009F7625">
        <w:rPr>
          <w:sz w:val="28"/>
          <w:szCs w:val="28"/>
        </w:rPr>
        <w:t>Khoản 1 Điều 67 của Quy định (EC) số 1107/2009 yêu cầu những người sử dụng sản phẩm bảo vệ thực vật chuyên nghiệp phải lưu trữ hồ sơ về các sản phẩm bảo vệ thực vật đã sử dụng trong thời gian ít nhất ba năm. Hồ sơ này phải bao gồm: tên sản phẩm, thời điểm và liều lượng sử dụng, diện tích và loại cây trồng nơi sản phẩm bảo vệ thực vật được sử dụng. Quy định này nhằm tăng cường bảo vệ sức khỏe con người, sức khỏe động vật và môi trường thông qua việc bảo đảm khả năng truy xuất nguồn gốc và mức độ phơi nhiễm tiềm tàng, đồng thời nâng cao hiệu quả giám sát, kiểm tra, cũng như giảm thiểu chi phí quan trắc chất lượng nước. Xét thấy các thông tin này ít có có sự tương quan với các sản phẩm bảo vệ thực vật chứa các chất kiểm soát sinh học, đồng thời nhằm giảm bớt gánh nặng hành chính cho nông dân, nghĩa vụ lưu trữ hồ sơ sẽ không áp dụng đối với các sản phẩm bảo vệ thực vật chỉ chứa các chất kiểm soát sinh học</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12</w:t>
      </w:r>
      <w:r w:rsidR="00727C11" w:rsidRPr="009F7625">
        <w:rPr>
          <w:sz w:val="28"/>
          <w:szCs w:val="28"/>
        </w:rPr>
        <w:t>.</w:t>
      </w:r>
      <w:r w:rsidR="00191A96" w:rsidRPr="009F7625">
        <w:rPr>
          <w:sz w:val="28"/>
          <w:szCs w:val="28"/>
        </w:rPr>
        <w:t xml:space="preserve"> </w:t>
      </w:r>
      <w:r w:rsidR="001062B5" w:rsidRPr="009F7625">
        <w:rPr>
          <w:sz w:val="28"/>
          <w:szCs w:val="28"/>
        </w:rPr>
        <w:t xml:space="preserve">Điều 22 của Quy định (EC) số 1107/2009 quy định các tiêu chí để xác định các hoạt chất có nguy cơ thấp, trong đó dẫn chiếu đến các tiêu chí dựa trên mức độ nguy hại của hoạt chất tại điểm 5 Phụ lục II của Quy định này và các tiêu chí dựa trên đánh giá rủi ro đối với các sản phẩm bảo vệ thực vật chứa các hoạt chất theo quy định tại Điều 47 thuộc Quy định này. Việc thực thi các quy định nêu trên đã bộc lộ những khó khăn trong thực tiễn, do tại thời điểm phê duyệt hoặc gia hạn phê duyệt hoạt chất, thông thường chưa thể xác định các tiêu chí liên quan đến sản phẩm tại Điều 47 có </w:t>
      </w:r>
      <w:r w:rsidR="007142B0" w:rsidRPr="009F7625">
        <w:rPr>
          <w:sz w:val="28"/>
          <w:szCs w:val="28"/>
        </w:rPr>
        <w:t xml:space="preserve">thể </w:t>
      </w:r>
      <w:r w:rsidR="001062B5" w:rsidRPr="009F7625">
        <w:rPr>
          <w:sz w:val="28"/>
          <w:szCs w:val="28"/>
        </w:rPr>
        <w:t xml:space="preserve">được đáp ứng hay không. </w:t>
      </w:r>
      <w:r w:rsidR="007142B0" w:rsidRPr="009F7625">
        <w:rPr>
          <w:sz w:val="28"/>
          <w:szCs w:val="28"/>
        </w:rPr>
        <w:t>Vì vậy</w:t>
      </w:r>
      <w:r w:rsidR="001062B5" w:rsidRPr="009F7625">
        <w:rPr>
          <w:sz w:val="28"/>
          <w:szCs w:val="28"/>
        </w:rPr>
        <w:t xml:space="preserve">, các tiêu chí này cần được đơn giản hóa để </w:t>
      </w:r>
      <w:r w:rsidR="007142B0" w:rsidRPr="009F7625">
        <w:rPr>
          <w:sz w:val="28"/>
          <w:szCs w:val="28"/>
        </w:rPr>
        <w:t xml:space="preserve">để chỉ </w:t>
      </w:r>
      <w:r w:rsidR="001062B5" w:rsidRPr="009F7625">
        <w:rPr>
          <w:sz w:val="28"/>
          <w:szCs w:val="28"/>
        </w:rPr>
        <w:t xml:space="preserve">dẫn chiếu đến các đặc tính nội tại của hoạt chất. Ngoài ra, thực tế đã có những trường hợp hoạt chất không được phê duyệt là hoạt chất có nguy cơ thấp do một số yếu tố liên quan đến tiêu chí chưa được làm rõ đầy đủ trong quá trình phê duyệt hoặc gia hạn, </w:t>
      </w:r>
      <w:r w:rsidR="007142B0" w:rsidRPr="009F7625">
        <w:rPr>
          <w:sz w:val="28"/>
          <w:szCs w:val="28"/>
        </w:rPr>
        <w:t>trong khi</w:t>
      </w:r>
      <w:r w:rsidR="001062B5" w:rsidRPr="009F7625">
        <w:rPr>
          <w:sz w:val="28"/>
          <w:szCs w:val="28"/>
        </w:rPr>
        <w:t xml:space="preserve"> các thông tin bổ sung sau đó cho thấy các tiêu chí này đã được đáp ứng. Để giải quyết tình </w:t>
      </w:r>
      <w:r w:rsidR="001062B5" w:rsidRPr="009F7625">
        <w:rPr>
          <w:sz w:val="28"/>
          <w:szCs w:val="28"/>
        </w:rPr>
        <w:lastRenderedPageBreak/>
        <w:t>trạng này, cần bổ sung quy định cho phép nộp hồ sơ đề nghị thay đổi tình trạng của hoạt chất đã được phê duyệt sang loại hoạt chất có nguy cơ thấp</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13</w:t>
      </w:r>
      <w:r w:rsidR="00727C11" w:rsidRPr="009F7625">
        <w:rPr>
          <w:sz w:val="28"/>
          <w:szCs w:val="28"/>
        </w:rPr>
        <w:t>.</w:t>
      </w:r>
      <w:r w:rsidRPr="009F7625">
        <w:rPr>
          <w:sz w:val="28"/>
          <w:szCs w:val="28"/>
        </w:rPr>
        <w:t xml:space="preserve"> Các quy định liên quan đến chất cơ bản (basic substances) </w:t>
      </w:r>
      <w:r w:rsidR="007142B0" w:rsidRPr="009F7625">
        <w:rPr>
          <w:sz w:val="28"/>
          <w:szCs w:val="28"/>
        </w:rPr>
        <w:t xml:space="preserve">tại </w:t>
      </w:r>
      <w:r w:rsidRPr="009F7625">
        <w:rPr>
          <w:sz w:val="28"/>
          <w:szCs w:val="28"/>
        </w:rPr>
        <w:t>Quy định (EC) số 1107/2009</w:t>
      </w:r>
      <w:r w:rsidR="007142B0" w:rsidRPr="009F7625">
        <w:rPr>
          <w:sz w:val="28"/>
          <w:szCs w:val="28"/>
        </w:rPr>
        <w:t xml:space="preserve"> còn nhiều điểm chưa </w:t>
      </w:r>
      <w:r w:rsidRPr="009F7625">
        <w:rPr>
          <w:sz w:val="28"/>
          <w:szCs w:val="28"/>
        </w:rPr>
        <w:t xml:space="preserve">rõ ràng, dẫn đến việc thực thi không </w:t>
      </w:r>
      <w:r w:rsidR="007142B0" w:rsidRPr="009F7625">
        <w:rPr>
          <w:sz w:val="28"/>
          <w:szCs w:val="28"/>
        </w:rPr>
        <w:t xml:space="preserve">thống </w:t>
      </w:r>
      <w:r w:rsidRPr="009F7625">
        <w:rPr>
          <w:sz w:val="28"/>
          <w:szCs w:val="28"/>
        </w:rPr>
        <w:t xml:space="preserve">nhất giữa các </w:t>
      </w:r>
      <w:r w:rsidR="007142B0" w:rsidRPr="009F7625">
        <w:rPr>
          <w:sz w:val="28"/>
          <w:szCs w:val="28"/>
        </w:rPr>
        <w:t xml:space="preserve">quốc </w:t>
      </w:r>
      <w:r w:rsidRPr="009F7625">
        <w:rPr>
          <w:sz w:val="28"/>
          <w:szCs w:val="28"/>
        </w:rPr>
        <w:t xml:space="preserve">gia </w:t>
      </w:r>
      <w:r w:rsidR="007142B0" w:rsidRPr="009F7625">
        <w:rPr>
          <w:sz w:val="28"/>
          <w:szCs w:val="28"/>
        </w:rPr>
        <w:t xml:space="preserve">thành </w:t>
      </w:r>
      <w:r w:rsidRPr="009F7625">
        <w:rPr>
          <w:sz w:val="28"/>
          <w:szCs w:val="28"/>
        </w:rPr>
        <w:t xml:space="preserve">viên cản trở </w:t>
      </w:r>
      <w:r w:rsidR="007142B0" w:rsidRPr="009F7625">
        <w:rPr>
          <w:sz w:val="28"/>
          <w:szCs w:val="28"/>
        </w:rPr>
        <w:t>khả năng tiếp cận</w:t>
      </w:r>
      <w:r w:rsidR="00191A96" w:rsidRPr="009F7625">
        <w:rPr>
          <w:sz w:val="28"/>
          <w:szCs w:val="28"/>
        </w:rPr>
        <w:t xml:space="preserve"> </w:t>
      </w:r>
      <w:r w:rsidR="007142B0" w:rsidRPr="009F7625">
        <w:rPr>
          <w:sz w:val="28"/>
          <w:szCs w:val="28"/>
        </w:rPr>
        <w:t xml:space="preserve">của </w:t>
      </w:r>
      <w:r w:rsidRPr="009F7625">
        <w:rPr>
          <w:sz w:val="28"/>
          <w:szCs w:val="28"/>
        </w:rPr>
        <w:t xml:space="preserve">các chất </w:t>
      </w:r>
      <w:r w:rsidR="007142B0" w:rsidRPr="009F7625">
        <w:rPr>
          <w:sz w:val="28"/>
          <w:szCs w:val="28"/>
        </w:rPr>
        <w:t xml:space="preserve">này </w:t>
      </w:r>
      <w:r w:rsidRPr="009F7625">
        <w:rPr>
          <w:sz w:val="28"/>
          <w:szCs w:val="28"/>
        </w:rPr>
        <w:t xml:space="preserve">cho nông dân. Do đó, cần </w:t>
      </w:r>
      <w:r w:rsidR="007142B0" w:rsidRPr="009F7625">
        <w:rPr>
          <w:sz w:val="28"/>
          <w:szCs w:val="28"/>
        </w:rPr>
        <w:t xml:space="preserve">bổ sung </w:t>
      </w:r>
      <w:r w:rsidRPr="009F7625">
        <w:rPr>
          <w:sz w:val="28"/>
          <w:szCs w:val="28"/>
        </w:rPr>
        <w:t xml:space="preserve">định nghĩa rõ ràng về chất cơ bản vào Điều 3, </w:t>
      </w:r>
      <w:r w:rsidR="007142B0" w:rsidRPr="009F7625">
        <w:rPr>
          <w:sz w:val="28"/>
          <w:szCs w:val="28"/>
        </w:rPr>
        <w:t xml:space="preserve">trong đó quy định cụ thể </w:t>
      </w:r>
      <w:r w:rsidRPr="009F7625">
        <w:rPr>
          <w:sz w:val="28"/>
          <w:szCs w:val="28"/>
        </w:rPr>
        <w:t>chất cơ bản bao gồm thực phẩm theo định nghĩa tại Điều 2</w:t>
      </w:r>
      <w:r w:rsidR="007142B0" w:rsidRPr="009F7625">
        <w:rPr>
          <w:sz w:val="28"/>
          <w:szCs w:val="28"/>
        </w:rPr>
        <w:t xml:space="preserve"> của</w:t>
      </w:r>
      <w:r w:rsidRPr="009F7625">
        <w:rPr>
          <w:sz w:val="28"/>
          <w:szCs w:val="28"/>
        </w:rPr>
        <w:t xml:space="preserve"> Quy định (EC) số 178/2002 cũng như các chất mà </w:t>
      </w:r>
      <w:r w:rsidR="007142B0" w:rsidRPr="009F7625">
        <w:rPr>
          <w:sz w:val="28"/>
          <w:szCs w:val="28"/>
        </w:rPr>
        <w:t xml:space="preserve">các </w:t>
      </w:r>
      <w:r w:rsidRPr="009F7625">
        <w:rPr>
          <w:sz w:val="28"/>
          <w:szCs w:val="28"/>
        </w:rPr>
        <w:t xml:space="preserve">đánh giá liên quan, được thực hiện theo </w:t>
      </w:r>
      <w:r w:rsidR="007142B0" w:rsidRPr="009F7625">
        <w:rPr>
          <w:sz w:val="28"/>
          <w:szCs w:val="28"/>
        </w:rPr>
        <w:t>quy định pháp luật khác của</w:t>
      </w:r>
      <w:r w:rsidRPr="009F7625">
        <w:rPr>
          <w:sz w:val="28"/>
          <w:szCs w:val="28"/>
        </w:rPr>
        <w:t xml:space="preserve"> Liên minh điều chỉnh việc sử dụng</w:t>
      </w:r>
      <w:r w:rsidR="007142B0" w:rsidRPr="009F7625">
        <w:rPr>
          <w:sz w:val="28"/>
          <w:szCs w:val="28"/>
        </w:rPr>
        <w:t xml:space="preserve"> các</w:t>
      </w:r>
      <w:r w:rsidRPr="009F7625">
        <w:rPr>
          <w:sz w:val="28"/>
          <w:szCs w:val="28"/>
        </w:rPr>
        <w:t xml:space="preserve"> chất đó </w:t>
      </w:r>
      <w:r w:rsidR="007142B0" w:rsidRPr="009F7625">
        <w:rPr>
          <w:sz w:val="28"/>
          <w:szCs w:val="28"/>
        </w:rPr>
        <w:t xml:space="preserve">cho các mục đích ngoài </w:t>
      </w:r>
      <w:r w:rsidRPr="009F7625">
        <w:rPr>
          <w:sz w:val="28"/>
          <w:szCs w:val="28"/>
        </w:rPr>
        <w:t xml:space="preserve">các mục đích </w:t>
      </w:r>
      <w:r w:rsidR="007142B0" w:rsidRPr="009F7625">
        <w:rPr>
          <w:sz w:val="28"/>
          <w:szCs w:val="28"/>
        </w:rPr>
        <w:t>làm</w:t>
      </w:r>
      <w:r w:rsidRPr="009F7625">
        <w:rPr>
          <w:sz w:val="28"/>
          <w:szCs w:val="28"/>
        </w:rPr>
        <w:t xml:space="preserve"> sản phẩm bảo vệ thực vật, cho thấy</w:t>
      </w:r>
      <w:r w:rsidR="007142B0" w:rsidRPr="009F7625">
        <w:rPr>
          <w:sz w:val="28"/>
          <w:szCs w:val="28"/>
        </w:rPr>
        <w:t xml:space="preserve"> rằngcác </w:t>
      </w:r>
      <w:r w:rsidRPr="009F7625">
        <w:rPr>
          <w:sz w:val="28"/>
          <w:szCs w:val="28"/>
        </w:rPr>
        <w:t xml:space="preserve">chất </w:t>
      </w:r>
      <w:r w:rsidR="007142B0" w:rsidRPr="009F7625">
        <w:rPr>
          <w:sz w:val="28"/>
          <w:szCs w:val="28"/>
        </w:rPr>
        <w:t xml:space="preserve">này </w:t>
      </w:r>
      <w:r w:rsidRPr="009F7625">
        <w:rPr>
          <w:sz w:val="28"/>
          <w:szCs w:val="28"/>
        </w:rPr>
        <w:t xml:space="preserve">không </w:t>
      </w:r>
      <w:r w:rsidR="007142B0" w:rsidRPr="009F7625">
        <w:rPr>
          <w:sz w:val="28"/>
          <w:szCs w:val="28"/>
        </w:rPr>
        <w:t xml:space="preserve">gây </w:t>
      </w:r>
      <w:r w:rsidR="008B34C3" w:rsidRPr="009F7625">
        <w:rPr>
          <w:sz w:val="28"/>
          <w:szCs w:val="28"/>
        </w:rPr>
        <w:t xml:space="preserve">tá </w:t>
      </w:r>
      <w:r w:rsidR="007142B0" w:rsidRPr="009F7625">
        <w:rPr>
          <w:sz w:val="28"/>
          <w:szCs w:val="28"/>
        </w:rPr>
        <w:t>động có hại</w:t>
      </w:r>
      <w:r w:rsidR="00191A96" w:rsidRPr="009F7625">
        <w:rPr>
          <w:sz w:val="28"/>
          <w:szCs w:val="28"/>
        </w:rPr>
        <w:t xml:space="preserve"> </w:t>
      </w:r>
      <w:r w:rsidR="007142B0" w:rsidRPr="009F7625">
        <w:rPr>
          <w:sz w:val="28"/>
          <w:szCs w:val="28"/>
        </w:rPr>
        <w:t>ngay lập tức</w:t>
      </w:r>
      <w:r w:rsidRPr="009F7625">
        <w:rPr>
          <w:sz w:val="28"/>
          <w:szCs w:val="28"/>
        </w:rPr>
        <w:t xml:space="preserve"> hoặc chậm trễ đối với sức khỏe con người hoặc động vật</w:t>
      </w:r>
      <w:r w:rsidR="007142B0" w:rsidRPr="009F7625">
        <w:rPr>
          <w:sz w:val="28"/>
          <w:szCs w:val="28"/>
        </w:rPr>
        <w:t>,</w:t>
      </w:r>
      <w:r w:rsidRPr="009F7625">
        <w:rPr>
          <w:sz w:val="28"/>
          <w:szCs w:val="28"/>
        </w:rPr>
        <w:t xml:space="preserve"> cũng như không </w:t>
      </w:r>
      <w:r w:rsidR="007142B0" w:rsidRPr="009F7625">
        <w:rPr>
          <w:sz w:val="28"/>
          <w:szCs w:val="28"/>
        </w:rPr>
        <w:t xml:space="preserve">gây ra </w:t>
      </w:r>
      <w:r w:rsidRPr="009F7625">
        <w:rPr>
          <w:sz w:val="28"/>
          <w:szCs w:val="28"/>
        </w:rPr>
        <w:t>tác động không thể chấp nhận được đối với môi trường.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14</w:t>
      </w:r>
      <w:r w:rsidR="00727C11" w:rsidRPr="009F7625">
        <w:rPr>
          <w:sz w:val="28"/>
          <w:szCs w:val="28"/>
        </w:rPr>
        <w:t xml:space="preserve">. </w:t>
      </w:r>
      <w:r w:rsidRPr="009F7625">
        <w:rPr>
          <w:sz w:val="28"/>
          <w:szCs w:val="28"/>
        </w:rPr>
        <w:t xml:space="preserve">Cần </w:t>
      </w:r>
      <w:r w:rsidR="007142B0" w:rsidRPr="009F7625">
        <w:rPr>
          <w:sz w:val="28"/>
          <w:szCs w:val="28"/>
        </w:rPr>
        <w:t>quy định riêng</w:t>
      </w:r>
      <w:r w:rsidRPr="009F7625">
        <w:rPr>
          <w:sz w:val="28"/>
          <w:szCs w:val="28"/>
        </w:rPr>
        <w:t xml:space="preserve"> các tiêu chí phê duyệt </w:t>
      </w:r>
      <w:r w:rsidR="00D3260D" w:rsidRPr="009F7625">
        <w:rPr>
          <w:sz w:val="28"/>
          <w:szCs w:val="28"/>
        </w:rPr>
        <w:t xml:space="preserve">đối với </w:t>
      </w:r>
      <w:r w:rsidRPr="009F7625">
        <w:rPr>
          <w:sz w:val="28"/>
          <w:szCs w:val="28"/>
        </w:rPr>
        <w:t xml:space="preserve">chất cơ bản và thủ tục nộp </w:t>
      </w:r>
      <w:r w:rsidR="00D3260D" w:rsidRPr="009F7625">
        <w:rPr>
          <w:sz w:val="28"/>
          <w:szCs w:val="28"/>
        </w:rPr>
        <w:t>hồ sơ</w:t>
      </w:r>
      <w:r w:rsidRPr="009F7625">
        <w:rPr>
          <w:sz w:val="28"/>
          <w:szCs w:val="28"/>
        </w:rPr>
        <w:t xml:space="preserve">, </w:t>
      </w:r>
      <w:r w:rsidR="00D3260D" w:rsidRPr="009F7625">
        <w:rPr>
          <w:sz w:val="28"/>
          <w:szCs w:val="28"/>
        </w:rPr>
        <w:t xml:space="preserve">cũng như quy định </w:t>
      </w:r>
      <w:r w:rsidRPr="009F7625">
        <w:rPr>
          <w:sz w:val="28"/>
          <w:szCs w:val="28"/>
        </w:rPr>
        <w:t xml:space="preserve">các yêu cầu ghi nhãn cụ thể hơn </w:t>
      </w:r>
      <w:r w:rsidR="00D3260D" w:rsidRPr="009F7625">
        <w:rPr>
          <w:sz w:val="28"/>
          <w:szCs w:val="28"/>
        </w:rPr>
        <w:t xml:space="preserve">nhằm </w:t>
      </w:r>
      <w:r w:rsidRPr="009F7625">
        <w:rPr>
          <w:sz w:val="28"/>
          <w:szCs w:val="28"/>
        </w:rPr>
        <w:t xml:space="preserve">cung cấp thông tin </w:t>
      </w:r>
      <w:r w:rsidR="00D3260D" w:rsidRPr="009F7625">
        <w:rPr>
          <w:sz w:val="28"/>
          <w:szCs w:val="28"/>
        </w:rPr>
        <w:t>đầy đủ</w:t>
      </w:r>
      <w:r w:rsidRPr="009F7625">
        <w:rPr>
          <w:sz w:val="28"/>
          <w:szCs w:val="28"/>
        </w:rPr>
        <w:t xml:space="preserve"> cho người sử dụng về các điều kiện sử dụng. </w:t>
      </w:r>
      <w:r w:rsidR="00D3260D" w:rsidRPr="009F7625">
        <w:rPr>
          <w:sz w:val="28"/>
          <w:szCs w:val="28"/>
        </w:rPr>
        <w:t xml:space="preserve">Đồng thời, </w:t>
      </w:r>
      <w:r w:rsidRPr="009F7625">
        <w:rPr>
          <w:sz w:val="28"/>
          <w:szCs w:val="28"/>
        </w:rPr>
        <w:t>cần làm rõ rằng ngoài việc sử dụng, việc đưa</w:t>
      </w:r>
      <w:r w:rsidR="00DF2E1F" w:rsidRPr="009F7625">
        <w:rPr>
          <w:sz w:val="28"/>
          <w:szCs w:val="28"/>
        </w:rPr>
        <w:t xml:space="preserve">ra thị trường </w:t>
      </w:r>
      <w:r w:rsidR="00D3260D" w:rsidRPr="009F7625">
        <w:rPr>
          <w:sz w:val="28"/>
          <w:szCs w:val="28"/>
        </w:rPr>
        <w:t>các chất cơ bản đã được phê duyệtnhằm</w:t>
      </w:r>
      <w:r w:rsidRPr="009F7625">
        <w:rPr>
          <w:sz w:val="28"/>
          <w:szCs w:val="28"/>
        </w:rPr>
        <w:t xml:space="preserve"> mục đích bảo vệ thực vật không yêu cầu</w:t>
      </w:r>
      <w:r w:rsidR="00D3260D" w:rsidRPr="009F7625">
        <w:rPr>
          <w:sz w:val="28"/>
          <w:szCs w:val="28"/>
        </w:rPr>
        <w:t xml:space="preserve"> phải có giấy</w:t>
      </w:r>
      <w:r w:rsidRPr="009F7625">
        <w:rPr>
          <w:sz w:val="28"/>
          <w:szCs w:val="28"/>
        </w:rPr>
        <w:t xml:space="preserve"> phép của các </w:t>
      </w:r>
      <w:r w:rsidR="00D3260D" w:rsidRPr="009F7625">
        <w:rPr>
          <w:sz w:val="28"/>
          <w:szCs w:val="28"/>
        </w:rPr>
        <w:t xml:space="preserve">quốc </w:t>
      </w:r>
      <w:r w:rsidRPr="009F7625">
        <w:rPr>
          <w:sz w:val="28"/>
          <w:szCs w:val="28"/>
        </w:rPr>
        <w:t xml:space="preserve">gia </w:t>
      </w:r>
      <w:r w:rsidR="00D3260D" w:rsidRPr="009F7625">
        <w:rPr>
          <w:sz w:val="28"/>
          <w:szCs w:val="28"/>
        </w:rPr>
        <w:t xml:space="preserve">thành </w:t>
      </w:r>
      <w:r w:rsidRPr="009F7625">
        <w:rPr>
          <w:sz w:val="28"/>
          <w:szCs w:val="28"/>
        </w:rPr>
        <w:t>viên</w:t>
      </w:r>
      <w:r w:rsidR="00D3260D" w:rsidRPr="009F7625">
        <w:rPr>
          <w:sz w:val="28"/>
          <w:szCs w:val="28"/>
        </w:rPr>
        <w:t xml:space="preserve">, nhằmtạo điều kiện </w:t>
      </w:r>
      <w:r w:rsidRPr="009F7625">
        <w:rPr>
          <w:sz w:val="28"/>
          <w:szCs w:val="28"/>
        </w:rPr>
        <w:t xml:space="preserve">cho nông dân tiếp cận </w:t>
      </w:r>
      <w:r w:rsidR="00D3260D" w:rsidRPr="009F7625">
        <w:rPr>
          <w:sz w:val="28"/>
          <w:szCs w:val="28"/>
        </w:rPr>
        <w:t>các chất này dưới hình thức</w:t>
      </w:r>
      <w:r w:rsidRPr="009F7625">
        <w:rPr>
          <w:sz w:val="28"/>
          <w:szCs w:val="28"/>
        </w:rPr>
        <w:t xml:space="preserve"> phù hợp. Cần b</w:t>
      </w:r>
      <w:r w:rsidR="001B580E" w:rsidRPr="009F7625">
        <w:rPr>
          <w:sz w:val="28"/>
          <w:szCs w:val="28"/>
        </w:rPr>
        <w:t>ổ sung các quy định chuyển tiếp</w:t>
      </w:r>
      <w:r w:rsidR="00191A96" w:rsidRPr="009F7625">
        <w:rPr>
          <w:sz w:val="28"/>
          <w:szCs w:val="28"/>
        </w:rPr>
        <w:t xml:space="preserve"> </w:t>
      </w:r>
      <w:r w:rsidRPr="009F7625">
        <w:rPr>
          <w:sz w:val="28"/>
          <w:szCs w:val="28"/>
        </w:rPr>
        <w:t xml:space="preserve">để tất cả các chất cơ bản được phê duyệt tại thời điểm Quy định này có hiệu lực có thể được </w:t>
      </w:r>
      <w:r w:rsidR="00D3260D" w:rsidRPr="009F7625">
        <w:rPr>
          <w:sz w:val="28"/>
          <w:szCs w:val="28"/>
        </w:rPr>
        <w:t xml:space="preserve">lưu thông trên </w:t>
      </w:r>
      <w:r w:rsidRPr="009F7625">
        <w:rPr>
          <w:sz w:val="28"/>
          <w:szCs w:val="28"/>
        </w:rPr>
        <w:t>thị trường Liên minh</w:t>
      </w:r>
      <w:r w:rsidR="00D3260D" w:rsidRPr="009F7625">
        <w:rPr>
          <w:sz w:val="28"/>
          <w:szCs w:val="28"/>
        </w:rPr>
        <w:t xml:space="preserve"> mà </w:t>
      </w:r>
      <w:r w:rsidRPr="009F7625">
        <w:rPr>
          <w:sz w:val="28"/>
          <w:szCs w:val="28"/>
        </w:rPr>
        <w:t>không có bất kỳ hạn chế nào</w:t>
      </w:r>
      <w:r w:rsidR="00D3260D" w:rsidRPr="009F7625">
        <w:rPr>
          <w:sz w:val="28"/>
          <w:szCs w:val="28"/>
        </w:rPr>
        <w:t xml:space="preserve"> từ các quy định cũ đã bị thay thế</w:t>
      </w:r>
      <w:r w:rsidRPr="009F7625">
        <w:rPr>
          <w:sz w:val="28"/>
          <w:szCs w:val="28"/>
        </w:rPr>
        <w:t xml:space="preserve">, đảm </w:t>
      </w:r>
      <w:r w:rsidR="00D3260D" w:rsidRPr="009F7625">
        <w:rPr>
          <w:sz w:val="28"/>
          <w:szCs w:val="28"/>
        </w:rPr>
        <w:t>bảo môi trường cạnh tranh</w:t>
      </w:r>
      <w:r w:rsidRPr="009F7625">
        <w:rPr>
          <w:sz w:val="28"/>
          <w:szCs w:val="28"/>
        </w:rPr>
        <w:t xml:space="preserve"> bình đẳng cho người sử dụng </w:t>
      </w:r>
      <w:r w:rsidR="00D3260D" w:rsidRPr="009F7625">
        <w:rPr>
          <w:sz w:val="28"/>
          <w:szCs w:val="28"/>
        </w:rPr>
        <w:t xml:space="preserve">tại </w:t>
      </w:r>
      <w:r w:rsidRPr="009F7625">
        <w:rPr>
          <w:sz w:val="28"/>
          <w:szCs w:val="28"/>
        </w:rPr>
        <w:t xml:space="preserve">tất cả các </w:t>
      </w:r>
      <w:r w:rsidR="00D3260D" w:rsidRPr="009F7625">
        <w:rPr>
          <w:sz w:val="28"/>
          <w:szCs w:val="28"/>
        </w:rPr>
        <w:t xml:space="preserve">quốc </w:t>
      </w:r>
      <w:r w:rsidRPr="009F7625">
        <w:rPr>
          <w:sz w:val="28"/>
          <w:szCs w:val="28"/>
        </w:rPr>
        <w:t xml:space="preserve">gia </w:t>
      </w:r>
      <w:r w:rsidR="00D3260D" w:rsidRPr="009F7625">
        <w:rPr>
          <w:sz w:val="28"/>
          <w:szCs w:val="28"/>
        </w:rPr>
        <w:t xml:space="preserve">thành </w:t>
      </w:r>
      <w:r w:rsidRPr="009F7625">
        <w:rPr>
          <w:sz w:val="28"/>
          <w:szCs w:val="28"/>
        </w:rPr>
        <w:t>viên.</w:t>
      </w:r>
    </w:p>
    <w:p w:rsidR="003C1BEA" w:rsidRPr="009F7625" w:rsidRDefault="00DF2E1F"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 xml:space="preserve">Nhằm </w:t>
      </w:r>
      <w:r w:rsidR="003C1BEA" w:rsidRPr="009F7625">
        <w:rPr>
          <w:sz w:val="28"/>
          <w:szCs w:val="28"/>
        </w:rPr>
        <w:t xml:space="preserve">hỗ trợ quá trình chuyển đổi sang các hoạt chất và sản phẩm bảo vệ thực vật bền vững hơn, các nguồn lực tại các </w:t>
      </w:r>
      <w:r w:rsidRPr="009F7625">
        <w:rPr>
          <w:sz w:val="28"/>
          <w:szCs w:val="28"/>
        </w:rPr>
        <w:t xml:space="preserve">quốc </w:t>
      </w:r>
      <w:r w:rsidR="003C1BEA" w:rsidRPr="009F7625">
        <w:rPr>
          <w:sz w:val="28"/>
          <w:szCs w:val="28"/>
        </w:rPr>
        <w:t xml:space="preserve">gia </w:t>
      </w:r>
      <w:r w:rsidRPr="009F7625">
        <w:rPr>
          <w:sz w:val="28"/>
          <w:szCs w:val="28"/>
        </w:rPr>
        <w:t xml:space="preserve">thành </w:t>
      </w:r>
      <w:r w:rsidR="003C1BEA" w:rsidRPr="009F7625">
        <w:rPr>
          <w:sz w:val="28"/>
          <w:szCs w:val="28"/>
        </w:rPr>
        <w:t xml:space="preserve">viên hiện </w:t>
      </w:r>
      <w:r w:rsidRPr="009F7625">
        <w:rPr>
          <w:sz w:val="28"/>
          <w:szCs w:val="28"/>
        </w:rPr>
        <w:t xml:space="preserve">đang sử dụng </w:t>
      </w:r>
      <w:r w:rsidR="003C1BEA" w:rsidRPr="009F7625">
        <w:rPr>
          <w:sz w:val="28"/>
          <w:szCs w:val="28"/>
        </w:rPr>
        <w:t xml:space="preserve">cho các </w:t>
      </w:r>
      <w:r w:rsidRPr="009F7625">
        <w:rPr>
          <w:sz w:val="28"/>
          <w:szCs w:val="28"/>
        </w:rPr>
        <w:t>quy trình</w:t>
      </w:r>
      <w:r w:rsidR="003C1BEA" w:rsidRPr="009F7625">
        <w:rPr>
          <w:sz w:val="28"/>
          <w:szCs w:val="28"/>
        </w:rPr>
        <w:t xml:space="preserve"> gia hạn cần được</w:t>
      </w:r>
      <w:r w:rsidRPr="009F7625">
        <w:rPr>
          <w:sz w:val="28"/>
          <w:szCs w:val="28"/>
        </w:rPr>
        <w:t xml:space="preserve"> chuyển sang phục vụ</w:t>
      </w:r>
      <w:r w:rsidR="003C1BEA" w:rsidRPr="009F7625">
        <w:rPr>
          <w:sz w:val="28"/>
          <w:szCs w:val="28"/>
        </w:rPr>
        <w:t xml:space="preserve"> việc đánh giá các </w:t>
      </w:r>
      <w:r w:rsidRPr="009F7625">
        <w:rPr>
          <w:sz w:val="28"/>
          <w:szCs w:val="28"/>
        </w:rPr>
        <w:t>hồ sơ đề nghị phê duyệt đối với các hoạt chất và sản phẩm mới</w:t>
      </w:r>
      <w:r w:rsidR="003C1BEA" w:rsidRPr="009F7625">
        <w:rPr>
          <w:sz w:val="28"/>
          <w:szCs w:val="28"/>
        </w:rPr>
        <w:t xml:space="preserve">. </w:t>
      </w:r>
      <w:r w:rsidRPr="009F7625">
        <w:rPr>
          <w:sz w:val="28"/>
          <w:szCs w:val="28"/>
        </w:rPr>
        <w:t>Vì vậy</w:t>
      </w:r>
      <w:r w:rsidR="003C1BEA" w:rsidRPr="009F7625">
        <w:rPr>
          <w:sz w:val="28"/>
          <w:szCs w:val="28"/>
        </w:rPr>
        <w:t xml:space="preserve">, </w:t>
      </w:r>
      <w:r w:rsidRPr="009F7625">
        <w:rPr>
          <w:sz w:val="28"/>
          <w:szCs w:val="28"/>
        </w:rPr>
        <w:t xml:space="preserve">việc phê duyệt </w:t>
      </w:r>
      <w:r w:rsidR="003C1BEA" w:rsidRPr="009F7625">
        <w:rPr>
          <w:sz w:val="28"/>
          <w:szCs w:val="28"/>
        </w:rPr>
        <w:t xml:space="preserve">các hoạt chất </w:t>
      </w:r>
      <w:r w:rsidRPr="009F7625">
        <w:rPr>
          <w:sz w:val="28"/>
          <w:szCs w:val="28"/>
        </w:rPr>
        <w:t xml:space="preserve">cần không bị giới hạn về mặt thời </w:t>
      </w:r>
      <w:r w:rsidR="00D124B3" w:rsidRPr="009F7625">
        <w:rPr>
          <w:sz w:val="28"/>
          <w:szCs w:val="28"/>
        </w:rPr>
        <w:t>hạn</w:t>
      </w:r>
      <w:r w:rsidR="003C1BEA" w:rsidRPr="009F7625">
        <w:rPr>
          <w:sz w:val="28"/>
          <w:szCs w:val="28"/>
        </w:rPr>
        <w:t xml:space="preserve">, ngoại trừ các hoạt chất </w:t>
      </w:r>
      <w:r w:rsidR="00D124B3" w:rsidRPr="009F7625">
        <w:rPr>
          <w:sz w:val="28"/>
          <w:szCs w:val="28"/>
        </w:rPr>
        <w:t>thuộc diện</w:t>
      </w:r>
      <w:r w:rsidR="003C1BEA" w:rsidRPr="009F7625">
        <w:rPr>
          <w:sz w:val="28"/>
          <w:szCs w:val="28"/>
        </w:rPr>
        <w:t xml:space="preserve"> thay thế (candidates for substitution), các hoạt chất được phê duyệt theo </w:t>
      </w:r>
      <w:r w:rsidR="00F95B69" w:rsidRPr="009F7625">
        <w:rPr>
          <w:sz w:val="28"/>
          <w:szCs w:val="28"/>
        </w:rPr>
        <w:t xml:space="preserve">Khoản 7, </w:t>
      </w:r>
      <w:r w:rsidR="003C1BEA" w:rsidRPr="009F7625">
        <w:rPr>
          <w:sz w:val="28"/>
          <w:szCs w:val="28"/>
        </w:rPr>
        <w:t xml:space="preserve">Điều 4 của Quy định (EC) số 1107/2009 </w:t>
      </w:r>
      <w:r w:rsidRPr="009F7625">
        <w:rPr>
          <w:sz w:val="28"/>
          <w:szCs w:val="28"/>
        </w:rPr>
        <w:t>do</w:t>
      </w:r>
      <w:r w:rsidR="00FF5E3A" w:rsidRPr="009F7625">
        <w:rPr>
          <w:sz w:val="28"/>
          <w:szCs w:val="28"/>
        </w:rPr>
        <w:t xml:space="preserve"> có </w:t>
      </w:r>
      <w:r w:rsidR="003C1BEA" w:rsidRPr="009F7625">
        <w:rPr>
          <w:sz w:val="28"/>
          <w:szCs w:val="28"/>
        </w:rPr>
        <w:t xml:space="preserve">các đặc tính gây </w:t>
      </w:r>
      <w:r w:rsidR="00FF5E3A" w:rsidRPr="009F7625">
        <w:rPr>
          <w:sz w:val="28"/>
          <w:szCs w:val="28"/>
        </w:rPr>
        <w:t xml:space="preserve">quan </w:t>
      </w:r>
      <w:r w:rsidR="003C1BEA" w:rsidRPr="009F7625">
        <w:rPr>
          <w:sz w:val="28"/>
          <w:szCs w:val="28"/>
        </w:rPr>
        <w:t xml:space="preserve">ngại </w:t>
      </w:r>
      <w:r w:rsidR="00FF5E3A" w:rsidRPr="009F7625">
        <w:rPr>
          <w:sz w:val="28"/>
          <w:szCs w:val="28"/>
        </w:rPr>
        <w:t xml:space="preserve">đối với </w:t>
      </w:r>
      <w:r w:rsidR="003C1BEA" w:rsidRPr="009F7625">
        <w:rPr>
          <w:sz w:val="28"/>
          <w:szCs w:val="28"/>
        </w:rPr>
        <w:t>sức khỏe con người</w:t>
      </w:r>
      <w:r w:rsidR="00FF5E3A" w:rsidRPr="009F7625">
        <w:rPr>
          <w:sz w:val="28"/>
          <w:szCs w:val="28"/>
        </w:rPr>
        <w:t>, sức khỏe</w:t>
      </w:r>
      <w:r w:rsidR="003C1BEA" w:rsidRPr="009F7625">
        <w:rPr>
          <w:sz w:val="28"/>
          <w:szCs w:val="28"/>
        </w:rPr>
        <w:t xml:space="preserve"> động vật hoặc môi trường và các hoạt chất được phê duyệt trong thời gian có hạn vì các lý do liên quan đến kết quả đánh giá rủi ro. </w:t>
      </w:r>
      <w:r w:rsidR="00FF5E3A" w:rsidRPr="009F7625">
        <w:rPr>
          <w:sz w:val="28"/>
          <w:szCs w:val="28"/>
        </w:rPr>
        <w:t xml:space="preserve">Tuy nhiên, vẫn </w:t>
      </w:r>
      <w:r w:rsidR="003C1BEA" w:rsidRPr="009F7625">
        <w:rPr>
          <w:sz w:val="28"/>
          <w:szCs w:val="28"/>
        </w:rPr>
        <w:t xml:space="preserve">có thể </w:t>
      </w:r>
      <w:r w:rsidR="00FF5E3A" w:rsidRPr="009F7625">
        <w:rPr>
          <w:sz w:val="28"/>
          <w:szCs w:val="28"/>
        </w:rPr>
        <w:t>quy địnhthời hạn</w:t>
      </w:r>
      <w:r w:rsidR="003C1BEA" w:rsidRPr="009F7625">
        <w:rPr>
          <w:sz w:val="28"/>
          <w:szCs w:val="28"/>
        </w:rPr>
        <w:t xml:space="preserve"> cho việc phê duyệt nếu xét thấy phù hợp dựa trên kết quả đánh giá rủi ro được </w:t>
      </w:r>
      <w:r w:rsidR="00FF5E3A" w:rsidRPr="009F7625">
        <w:rPr>
          <w:sz w:val="28"/>
          <w:szCs w:val="28"/>
        </w:rPr>
        <w:t>thực hiện</w:t>
      </w:r>
      <w:r w:rsidR="003C1BEA" w:rsidRPr="009F7625">
        <w:rPr>
          <w:sz w:val="28"/>
          <w:szCs w:val="28"/>
        </w:rPr>
        <w:t xml:space="preserve"> trước khi có quyết định phê duyệt. Ủy ban cũng </w:t>
      </w:r>
      <w:r w:rsidR="00FF5E3A" w:rsidRPr="009F7625">
        <w:rPr>
          <w:sz w:val="28"/>
          <w:szCs w:val="28"/>
        </w:rPr>
        <w:t>cần có khả năng</w:t>
      </w:r>
      <w:r w:rsidR="003C1BEA" w:rsidRPr="009F7625">
        <w:rPr>
          <w:sz w:val="28"/>
          <w:szCs w:val="28"/>
        </w:rPr>
        <w:t xml:space="preserve"> xác định các hoạt chất được phê duyệt không giới hạn</w:t>
      </w:r>
      <w:r w:rsidR="00FF5E3A" w:rsidRPr="009F7625">
        <w:rPr>
          <w:sz w:val="28"/>
          <w:szCs w:val="28"/>
        </w:rPr>
        <w:t xml:space="preserve"> thời hạn nhưng</w:t>
      </w:r>
      <w:r w:rsidR="003C1BEA" w:rsidRPr="009F7625">
        <w:rPr>
          <w:sz w:val="28"/>
          <w:szCs w:val="28"/>
        </w:rPr>
        <w:t xml:space="preserve"> cần</w:t>
      </w:r>
      <w:r w:rsidR="00FF5E3A" w:rsidRPr="009F7625">
        <w:rPr>
          <w:sz w:val="28"/>
          <w:szCs w:val="28"/>
        </w:rPr>
        <w:t xml:space="preserve"> phải</w:t>
      </w:r>
      <w:r w:rsidR="003C1BEA" w:rsidRPr="009F7625">
        <w:rPr>
          <w:sz w:val="28"/>
          <w:szCs w:val="28"/>
        </w:rPr>
        <w:t xml:space="preserve"> thực hiện </w:t>
      </w:r>
      <w:r w:rsidR="00FF5E3A" w:rsidRPr="009F7625">
        <w:rPr>
          <w:sz w:val="28"/>
          <w:szCs w:val="28"/>
        </w:rPr>
        <w:t>đầy đủ thủ tục</w:t>
      </w:r>
      <w:r w:rsidR="003C1BEA" w:rsidRPr="009F7625">
        <w:rPr>
          <w:sz w:val="28"/>
          <w:szCs w:val="28"/>
        </w:rPr>
        <w:t xml:space="preserve"> gia hạn</w:t>
      </w:r>
      <w:r w:rsidR="00FF5E3A" w:rsidRPr="009F7625">
        <w:rPr>
          <w:sz w:val="28"/>
          <w:szCs w:val="28"/>
        </w:rPr>
        <w:t>,</w:t>
      </w:r>
      <w:r w:rsidR="003C1BEA" w:rsidRPr="009F7625">
        <w:rPr>
          <w:sz w:val="28"/>
          <w:szCs w:val="28"/>
        </w:rPr>
        <w:t xml:space="preserve"> hoặc xác định các hoạt chất </w:t>
      </w:r>
      <w:r w:rsidR="00FF5E3A" w:rsidRPr="009F7625">
        <w:rPr>
          <w:sz w:val="28"/>
          <w:szCs w:val="28"/>
        </w:rPr>
        <w:t xml:space="preserve">được phê duyệt không giới hạn hoặc có thời hạn cần được đánh giá lại </w:t>
      </w:r>
      <w:r w:rsidR="00D124B3" w:rsidRPr="009F7625">
        <w:rPr>
          <w:sz w:val="28"/>
          <w:szCs w:val="28"/>
        </w:rPr>
        <w:t>trọng tâm</w:t>
      </w:r>
      <w:r w:rsidR="003C1BEA" w:rsidRPr="009F7625">
        <w:rPr>
          <w:sz w:val="28"/>
          <w:szCs w:val="28"/>
        </w:rPr>
        <w:t xml:space="preserve"> (targeted reassessment). Việc xác định hoạt chất</w:t>
      </w:r>
      <w:r w:rsidR="00FF5E3A" w:rsidRPr="009F7625">
        <w:rPr>
          <w:sz w:val="28"/>
          <w:szCs w:val="28"/>
        </w:rPr>
        <w:t xml:space="preserve"> này nên</w:t>
      </w:r>
      <w:r w:rsidR="003C1BEA" w:rsidRPr="009F7625">
        <w:rPr>
          <w:sz w:val="28"/>
          <w:szCs w:val="28"/>
        </w:rPr>
        <w:t xml:space="preserve"> dựa trên nhiều tiêu chí và </w:t>
      </w:r>
      <w:r w:rsidR="00FF5E3A" w:rsidRPr="009F7625">
        <w:rPr>
          <w:sz w:val="28"/>
          <w:szCs w:val="28"/>
        </w:rPr>
        <w:t>trên cơ sở các đề nghị</w:t>
      </w:r>
      <w:r w:rsidR="003C1BEA" w:rsidRPr="009F7625">
        <w:rPr>
          <w:sz w:val="28"/>
          <w:szCs w:val="28"/>
        </w:rPr>
        <w:t xml:space="preserve"> từ các </w:t>
      </w:r>
      <w:r w:rsidR="00FF5E3A" w:rsidRPr="009F7625">
        <w:rPr>
          <w:sz w:val="28"/>
          <w:szCs w:val="28"/>
        </w:rPr>
        <w:t xml:space="preserve">quốc </w:t>
      </w:r>
      <w:r w:rsidR="003C1BEA" w:rsidRPr="009F7625">
        <w:rPr>
          <w:sz w:val="28"/>
          <w:szCs w:val="28"/>
        </w:rPr>
        <w:t xml:space="preserve">gia </w:t>
      </w:r>
      <w:r w:rsidR="00FF5E3A" w:rsidRPr="009F7625">
        <w:rPr>
          <w:sz w:val="28"/>
          <w:szCs w:val="28"/>
        </w:rPr>
        <w:t xml:space="preserve">thành </w:t>
      </w:r>
      <w:r w:rsidR="003C1BEA" w:rsidRPr="009F7625">
        <w:rPr>
          <w:sz w:val="28"/>
          <w:szCs w:val="28"/>
        </w:rPr>
        <w:t xml:space="preserve">viên. Ngoài ra, khả năng </w:t>
      </w:r>
      <w:r w:rsidR="00D124B3" w:rsidRPr="009F7625">
        <w:rPr>
          <w:sz w:val="28"/>
          <w:szCs w:val="28"/>
        </w:rPr>
        <w:t xml:space="preserve">tiến hành rà soát đột xuất </w:t>
      </w:r>
      <w:r w:rsidR="003C1BEA" w:rsidRPr="009F7625">
        <w:rPr>
          <w:sz w:val="28"/>
          <w:szCs w:val="28"/>
        </w:rPr>
        <w:t>(ad-hoc reviews)</w:t>
      </w:r>
      <w:r w:rsidR="00D124B3" w:rsidRPr="009F7625">
        <w:rPr>
          <w:sz w:val="28"/>
          <w:szCs w:val="28"/>
        </w:rPr>
        <w:t xml:space="preserve"> đối với</w:t>
      </w:r>
      <w:r w:rsidR="003C1BEA" w:rsidRPr="009F7625">
        <w:rPr>
          <w:sz w:val="28"/>
          <w:szCs w:val="28"/>
        </w:rPr>
        <w:t xml:space="preserve"> các hoạt chất bất kỳ </w:t>
      </w:r>
      <w:r w:rsidR="00D124B3" w:rsidRPr="009F7625">
        <w:rPr>
          <w:sz w:val="28"/>
          <w:szCs w:val="28"/>
        </w:rPr>
        <w:t>thời điểm nào theo</w:t>
      </w:r>
      <w:r w:rsidR="003C1BEA" w:rsidRPr="009F7625">
        <w:rPr>
          <w:sz w:val="28"/>
          <w:szCs w:val="28"/>
        </w:rPr>
        <w:t xml:space="preserve"> quy định tại Điều 21 của Quy định (EC) số 1107/2009 cần </w:t>
      </w:r>
      <w:r w:rsidR="00D124B3" w:rsidRPr="009F7625">
        <w:rPr>
          <w:sz w:val="28"/>
          <w:szCs w:val="28"/>
        </w:rPr>
        <w:t xml:space="preserve">tiếp tục được </w:t>
      </w:r>
      <w:r w:rsidR="003C1BEA" w:rsidRPr="009F7625">
        <w:rPr>
          <w:sz w:val="28"/>
          <w:szCs w:val="28"/>
        </w:rPr>
        <w:t>duy trì.</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lastRenderedPageBreak/>
        <w:t>15</w:t>
      </w:r>
      <w:r w:rsidR="00727C11" w:rsidRPr="009F7625">
        <w:rPr>
          <w:sz w:val="28"/>
          <w:szCs w:val="28"/>
        </w:rPr>
        <w:t>.</w:t>
      </w:r>
      <w:r w:rsidR="00191A96" w:rsidRPr="009F7625">
        <w:rPr>
          <w:sz w:val="28"/>
          <w:szCs w:val="28"/>
        </w:rPr>
        <w:t xml:space="preserve"> </w:t>
      </w:r>
      <w:r w:rsidR="00F95B69" w:rsidRPr="009F7625">
        <w:rPr>
          <w:sz w:val="28"/>
          <w:szCs w:val="28"/>
        </w:rPr>
        <w:t>Để bảo đảm tính dự báo, hiệu quả, sự nhất quán và tính minh bạch, cần ban hành các quy định cần thiết cho việc triển khai đánh giá lại trọng tâm.</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16</w:t>
      </w:r>
      <w:r w:rsidR="00727C11" w:rsidRPr="009F7625">
        <w:rPr>
          <w:sz w:val="28"/>
          <w:szCs w:val="28"/>
        </w:rPr>
        <w:t>.</w:t>
      </w:r>
      <w:r w:rsidR="00191A96" w:rsidRPr="009F7625">
        <w:rPr>
          <w:sz w:val="28"/>
          <w:szCs w:val="28"/>
        </w:rPr>
        <w:t xml:space="preserve"> </w:t>
      </w:r>
      <w:r w:rsidR="00F95B69" w:rsidRPr="009F7625">
        <w:rPr>
          <w:sz w:val="28"/>
          <w:szCs w:val="28"/>
        </w:rPr>
        <w:t xml:space="preserve">Khoản 7 </w:t>
      </w:r>
      <w:r w:rsidRPr="009F7625">
        <w:rPr>
          <w:sz w:val="28"/>
          <w:szCs w:val="28"/>
        </w:rPr>
        <w:t xml:space="preserve">Điều 4 của Quy định (EC) số 1107/2009 quy định </w:t>
      </w:r>
      <w:r w:rsidR="00F95B69" w:rsidRPr="009F7625">
        <w:rPr>
          <w:sz w:val="28"/>
          <w:szCs w:val="28"/>
        </w:rPr>
        <w:t xml:space="preserve">về cơ chế </w:t>
      </w:r>
      <w:r w:rsidRPr="009F7625">
        <w:rPr>
          <w:sz w:val="28"/>
          <w:szCs w:val="28"/>
        </w:rPr>
        <w:t xml:space="preserve">ngoại lệ cho phép phê duyệt các hoạt chất không đáp ứng các tiêu chí </w:t>
      </w:r>
      <w:r w:rsidR="00F95B69" w:rsidRPr="009F7625">
        <w:rPr>
          <w:sz w:val="28"/>
          <w:szCs w:val="28"/>
        </w:rPr>
        <w:t>quy định</w:t>
      </w:r>
      <w:r w:rsidRPr="009F7625">
        <w:rPr>
          <w:sz w:val="28"/>
          <w:szCs w:val="28"/>
        </w:rPr>
        <w:t xml:space="preserve"> tại Điều 4 và Phụ lục II </w:t>
      </w:r>
      <w:r w:rsidR="00F95B69" w:rsidRPr="009F7625">
        <w:rPr>
          <w:sz w:val="28"/>
          <w:szCs w:val="28"/>
        </w:rPr>
        <w:t xml:space="preserve">trong trường hợp việc phê duyệt là </w:t>
      </w:r>
      <w:r w:rsidRPr="009F7625">
        <w:rPr>
          <w:sz w:val="28"/>
          <w:szCs w:val="28"/>
        </w:rPr>
        <w:t xml:space="preserve">cần thiết </w:t>
      </w:r>
      <w:r w:rsidR="00F95B69" w:rsidRPr="009F7625">
        <w:rPr>
          <w:sz w:val="28"/>
          <w:szCs w:val="28"/>
        </w:rPr>
        <w:t>do</w:t>
      </w:r>
      <w:r w:rsidRPr="009F7625">
        <w:rPr>
          <w:sz w:val="28"/>
          <w:szCs w:val="28"/>
        </w:rPr>
        <w:t xml:space="preserve"> có </w:t>
      </w:r>
      <w:r w:rsidR="00F95B69" w:rsidRPr="009F7625">
        <w:rPr>
          <w:sz w:val="28"/>
          <w:szCs w:val="28"/>
        </w:rPr>
        <w:t>nguy cơ</w:t>
      </w:r>
      <w:r w:rsidRPr="009F7625">
        <w:rPr>
          <w:sz w:val="28"/>
          <w:szCs w:val="28"/>
        </w:rPr>
        <w:t xml:space="preserve"> nghiêm trọng đối với sức khỏe thực vật mà không thể ngăn chặn bằng các biện pháp hợp lý khác</w:t>
      </w:r>
      <w:r w:rsidR="00F95B69" w:rsidRPr="009F7625">
        <w:rPr>
          <w:sz w:val="28"/>
          <w:szCs w:val="28"/>
        </w:rPr>
        <w:t>,</w:t>
      </w:r>
      <w:r w:rsidRPr="009F7625">
        <w:rPr>
          <w:sz w:val="28"/>
          <w:szCs w:val="28"/>
        </w:rPr>
        <w:t xml:space="preserve"> bao gồm các phương pháp hóa học và phi hóa học có chi phí, tính sẵn có và hiệu quả tương đương, ngoại trừ các hoạt chất có đặc tính đặc biệt nguy hại. </w:t>
      </w:r>
      <w:r w:rsidR="007E18C6" w:rsidRPr="009F7625">
        <w:rPr>
          <w:sz w:val="28"/>
          <w:szCs w:val="28"/>
        </w:rPr>
        <w:t>Thực tế</w:t>
      </w:r>
      <w:r w:rsidRPr="009F7625">
        <w:rPr>
          <w:sz w:val="28"/>
          <w:szCs w:val="28"/>
        </w:rPr>
        <w:t xml:space="preserve"> cho thấy cần phải làm rõ phạm vi của các tiêu chí mà </w:t>
      </w:r>
      <w:r w:rsidR="00F95B69" w:rsidRPr="009F7625">
        <w:rPr>
          <w:sz w:val="28"/>
          <w:szCs w:val="28"/>
        </w:rPr>
        <w:t xml:space="preserve">theo đó cơ chế </w:t>
      </w:r>
      <w:r w:rsidRPr="009F7625">
        <w:rPr>
          <w:sz w:val="28"/>
          <w:szCs w:val="28"/>
        </w:rPr>
        <w:t xml:space="preserve">ngoại lệ </w:t>
      </w:r>
      <w:r w:rsidR="00F95B69" w:rsidRPr="009F7625">
        <w:rPr>
          <w:sz w:val="28"/>
          <w:szCs w:val="28"/>
        </w:rPr>
        <w:t xml:space="preserve">này </w:t>
      </w:r>
      <w:r w:rsidRPr="009F7625">
        <w:rPr>
          <w:sz w:val="28"/>
          <w:szCs w:val="28"/>
        </w:rPr>
        <w:t xml:space="preserve">có thể </w:t>
      </w:r>
      <w:r w:rsidR="00F95B69" w:rsidRPr="009F7625">
        <w:rPr>
          <w:sz w:val="28"/>
          <w:szCs w:val="28"/>
        </w:rPr>
        <w:t xml:space="preserve">được </w:t>
      </w:r>
      <w:r w:rsidRPr="009F7625">
        <w:rPr>
          <w:sz w:val="28"/>
          <w:szCs w:val="28"/>
        </w:rPr>
        <w:t>áp dụng.</w:t>
      </w:r>
      <w:r w:rsidR="00F95B69" w:rsidRPr="009F7625">
        <w:rPr>
          <w:sz w:val="28"/>
          <w:szCs w:val="28"/>
        </w:rPr>
        <w:t xml:space="preserve"> Việc </w:t>
      </w:r>
      <w:r w:rsidR="007E18C6" w:rsidRPr="009F7625">
        <w:rPr>
          <w:sz w:val="28"/>
          <w:szCs w:val="28"/>
        </w:rPr>
        <w:t xml:space="preserve">hài hòa hóa </w:t>
      </w:r>
      <w:r w:rsidR="00F95B69" w:rsidRPr="009F7625">
        <w:rPr>
          <w:sz w:val="28"/>
          <w:szCs w:val="28"/>
        </w:rPr>
        <w:t>cơ chế</w:t>
      </w:r>
      <w:r w:rsidRPr="009F7625">
        <w:rPr>
          <w:sz w:val="28"/>
          <w:szCs w:val="28"/>
        </w:rPr>
        <w:t xml:space="preserve"> ngoại lệ trong một số trường hợp có </w:t>
      </w:r>
      <w:r w:rsidR="007E18C6" w:rsidRPr="009F7625">
        <w:rPr>
          <w:sz w:val="28"/>
          <w:szCs w:val="28"/>
        </w:rPr>
        <w:t>nguy cơ</w:t>
      </w:r>
      <w:r w:rsidRPr="009F7625">
        <w:rPr>
          <w:sz w:val="28"/>
          <w:szCs w:val="28"/>
        </w:rPr>
        <w:t xml:space="preserve"> nghiêm trọng đối với sức khỏe thực vật mà không thể ngăn chặn bằng các biện pháp hợp lý khác sẽ </w:t>
      </w:r>
      <w:r w:rsidR="00F95B69" w:rsidRPr="009F7625">
        <w:rPr>
          <w:sz w:val="28"/>
          <w:szCs w:val="28"/>
        </w:rPr>
        <w:t xml:space="preserve">giúp </w:t>
      </w:r>
      <w:r w:rsidRPr="009F7625">
        <w:rPr>
          <w:sz w:val="28"/>
          <w:szCs w:val="28"/>
        </w:rPr>
        <w:t xml:space="preserve">giảm gánh nặng hành chính cho các </w:t>
      </w:r>
      <w:r w:rsidR="00F95B69" w:rsidRPr="009F7625">
        <w:rPr>
          <w:sz w:val="28"/>
          <w:szCs w:val="28"/>
        </w:rPr>
        <w:t xml:space="preserve">quốc </w:t>
      </w:r>
      <w:r w:rsidRPr="009F7625">
        <w:rPr>
          <w:sz w:val="28"/>
          <w:szCs w:val="28"/>
        </w:rPr>
        <w:t xml:space="preserve">gia </w:t>
      </w:r>
      <w:r w:rsidR="00F95B69" w:rsidRPr="009F7625">
        <w:rPr>
          <w:sz w:val="28"/>
          <w:szCs w:val="28"/>
        </w:rPr>
        <w:t xml:space="preserve">thành </w:t>
      </w:r>
      <w:r w:rsidRPr="009F7625">
        <w:rPr>
          <w:sz w:val="28"/>
          <w:szCs w:val="28"/>
        </w:rPr>
        <w:t xml:space="preserve">viên </w:t>
      </w:r>
      <w:r w:rsidR="00F95B69" w:rsidRPr="009F7625">
        <w:rPr>
          <w:sz w:val="28"/>
          <w:szCs w:val="28"/>
        </w:rPr>
        <w:t>khi</w:t>
      </w:r>
      <w:r w:rsidRPr="009F7625">
        <w:rPr>
          <w:sz w:val="28"/>
          <w:szCs w:val="28"/>
        </w:rPr>
        <w:t xml:space="preserve"> cấp phép các sản phẩm bảo vệ thực vật chứa các hoạt chất </w:t>
      </w:r>
      <w:r w:rsidR="00F95B69" w:rsidRPr="009F7625">
        <w:rPr>
          <w:sz w:val="28"/>
          <w:szCs w:val="28"/>
        </w:rPr>
        <w:t>này the</w:t>
      </w:r>
      <w:r w:rsidRPr="009F7625">
        <w:rPr>
          <w:sz w:val="28"/>
          <w:szCs w:val="28"/>
        </w:rPr>
        <w:t>o Điều 53</w:t>
      </w:r>
      <w:r w:rsidR="00F95B69" w:rsidRPr="009F7625">
        <w:rPr>
          <w:sz w:val="28"/>
          <w:szCs w:val="28"/>
        </w:rPr>
        <w:t>, đồng thời</w:t>
      </w:r>
      <w:r w:rsidRPr="009F7625">
        <w:rPr>
          <w:sz w:val="28"/>
          <w:szCs w:val="28"/>
        </w:rPr>
        <w:t xml:space="preserve"> góp phần giảm</w:t>
      </w:r>
      <w:r w:rsidR="007E18C6" w:rsidRPr="009F7625">
        <w:rPr>
          <w:sz w:val="28"/>
          <w:szCs w:val="28"/>
        </w:rPr>
        <w:t xml:space="preserve"> thiểu</w:t>
      </w:r>
      <w:r w:rsidRPr="009F7625">
        <w:rPr>
          <w:sz w:val="28"/>
          <w:szCs w:val="28"/>
        </w:rPr>
        <w:t xml:space="preserve"> sự chênh lệch </w:t>
      </w:r>
      <w:r w:rsidR="007E18C6" w:rsidRPr="009F7625">
        <w:rPr>
          <w:sz w:val="28"/>
          <w:szCs w:val="28"/>
        </w:rPr>
        <w:t>về khả năng</w:t>
      </w:r>
      <w:r w:rsidRPr="009F7625">
        <w:rPr>
          <w:sz w:val="28"/>
          <w:szCs w:val="28"/>
        </w:rPr>
        <w:t xml:space="preserve"> tiếp cận các sản phẩm bảo vệ thực vật chứa các hoạt chất liên quan giữa nông dân </w:t>
      </w:r>
      <w:r w:rsidR="00F95B69" w:rsidRPr="009F7625">
        <w:rPr>
          <w:sz w:val="28"/>
          <w:szCs w:val="28"/>
        </w:rPr>
        <w:t xml:space="preserve">tại </w:t>
      </w:r>
      <w:r w:rsidRPr="009F7625">
        <w:rPr>
          <w:sz w:val="28"/>
          <w:szCs w:val="28"/>
        </w:rPr>
        <w:t>các</w:t>
      </w:r>
      <w:r w:rsidR="00F95B69" w:rsidRPr="009F7625">
        <w:rPr>
          <w:sz w:val="28"/>
          <w:szCs w:val="28"/>
        </w:rPr>
        <w:t xml:space="preserve"> q</w:t>
      </w:r>
      <w:r w:rsidRPr="009F7625">
        <w:rPr>
          <w:sz w:val="28"/>
          <w:szCs w:val="28"/>
        </w:rPr>
        <w:t xml:space="preserve">uốc gia </w:t>
      </w:r>
      <w:r w:rsidR="00F95B69" w:rsidRPr="009F7625">
        <w:rPr>
          <w:sz w:val="28"/>
          <w:szCs w:val="28"/>
        </w:rPr>
        <w:t xml:space="preserve">thành </w:t>
      </w:r>
      <w:r w:rsidRPr="009F7625">
        <w:rPr>
          <w:sz w:val="28"/>
          <w:szCs w:val="28"/>
        </w:rPr>
        <w:t xml:space="preserve">viên khác nhau. </w:t>
      </w:r>
      <w:r w:rsidR="00F95B69" w:rsidRPr="009F7625">
        <w:rPr>
          <w:sz w:val="28"/>
          <w:szCs w:val="28"/>
        </w:rPr>
        <w:t xml:space="preserve">Ngoài ra, </w:t>
      </w:r>
      <w:r w:rsidRPr="009F7625">
        <w:rPr>
          <w:sz w:val="28"/>
          <w:szCs w:val="28"/>
        </w:rPr>
        <w:t xml:space="preserve">cần </w:t>
      </w:r>
      <w:r w:rsidR="00F95B69" w:rsidRPr="009F7625">
        <w:rPr>
          <w:sz w:val="28"/>
          <w:szCs w:val="28"/>
        </w:rPr>
        <w:t>cho phép</w:t>
      </w:r>
      <w:r w:rsidRPr="009F7625">
        <w:rPr>
          <w:sz w:val="28"/>
          <w:szCs w:val="28"/>
        </w:rPr>
        <w:t>, ngoài</w:t>
      </w:r>
      <w:r w:rsidR="00F95B69" w:rsidRPr="009F7625">
        <w:rPr>
          <w:sz w:val="28"/>
          <w:szCs w:val="28"/>
        </w:rPr>
        <w:t xml:space="preserve"> các</w:t>
      </w:r>
      <w:r w:rsidRPr="009F7625">
        <w:rPr>
          <w:sz w:val="28"/>
          <w:szCs w:val="28"/>
        </w:rPr>
        <w:t xml:space="preserve"> thông tin </w:t>
      </w:r>
      <w:r w:rsidR="00F95B69" w:rsidRPr="009F7625">
        <w:rPr>
          <w:sz w:val="28"/>
          <w:szCs w:val="28"/>
        </w:rPr>
        <w:t xml:space="preserve">được cung cấp </w:t>
      </w:r>
      <w:r w:rsidRPr="009F7625">
        <w:rPr>
          <w:sz w:val="28"/>
          <w:szCs w:val="28"/>
        </w:rPr>
        <w:t xml:space="preserve">trong </w:t>
      </w:r>
      <w:r w:rsidR="00F95B69" w:rsidRPr="009F7625">
        <w:rPr>
          <w:sz w:val="28"/>
          <w:szCs w:val="28"/>
        </w:rPr>
        <w:t>hồ sơ đề nghị</w:t>
      </w:r>
      <w:r w:rsidRPr="009F7625">
        <w:rPr>
          <w:sz w:val="28"/>
          <w:szCs w:val="28"/>
        </w:rPr>
        <w:t xml:space="preserve"> phê duyệt hoặc gia hạn phê duyệt một hoạt chất,</w:t>
      </w:r>
      <w:r w:rsidR="00F95B69" w:rsidRPr="009F7625">
        <w:rPr>
          <w:sz w:val="28"/>
          <w:szCs w:val="28"/>
        </w:rPr>
        <w:t xml:space="preserve"> các thông tin khác được</w:t>
      </w:r>
      <w:r w:rsidRPr="009F7625">
        <w:rPr>
          <w:sz w:val="28"/>
          <w:szCs w:val="28"/>
        </w:rPr>
        <w:t xml:space="preserve"> cung cấp trong quá trình phê duyệt cũng có thể được xem xét khi </w:t>
      </w:r>
      <w:r w:rsidR="00F95B69" w:rsidRPr="009F7625">
        <w:rPr>
          <w:sz w:val="28"/>
          <w:szCs w:val="28"/>
        </w:rPr>
        <w:t>đánh giá khả năng áp dụng cơ chế ngoại lệ</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17</w:t>
      </w:r>
      <w:r w:rsidR="00727C11" w:rsidRPr="009F7625">
        <w:rPr>
          <w:sz w:val="28"/>
          <w:szCs w:val="28"/>
        </w:rPr>
        <w:t>.</w:t>
      </w:r>
      <w:r w:rsidR="00191A96" w:rsidRPr="009F7625">
        <w:rPr>
          <w:sz w:val="28"/>
          <w:szCs w:val="28"/>
        </w:rPr>
        <w:t xml:space="preserve"> </w:t>
      </w:r>
      <w:r w:rsidR="007E18C6" w:rsidRPr="009F7625">
        <w:rPr>
          <w:sz w:val="28"/>
          <w:szCs w:val="28"/>
        </w:rPr>
        <w:t xml:space="preserve">Nhằm </w:t>
      </w:r>
      <w:r w:rsidRPr="009F7625">
        <w:rPr>
          <w:sz w:val="28"/>
          <w:szCs w:val="28"/>
        </w:rPr>
        <w:t xml:space="preserve">hỗ trợ các </w:t>
      </w:r>
      <w:r w:rsidR="00FE27DE" w:rsidRPr="009F7625">
        <w:rPr>
          <w:sz w:val="28"/>
          <w:szCs w:val="28"/>
        </w:rPr>
        <w:t xml:space="preserve">quốc </w:t>
      </w:r>
      <w:r w:rsidRPr="009F7625">
        <w:rPr>
          <w:sz w:val="28"/>
          <w:szCs w:val="28"/>
        </w:rPr>
        <w:t xml:space="preserve">gia </w:t>
      </w:r>
      <w:r w:rsidR="00FE27DE" w:rsidRPr="009F7625">
        <w:rPr>
          <w:sz w:val="28"/>
          <w:szCs w:val="28"/>
        </w:rPr>
        <w:t xml:space="preserve">thành </w:t>
      </w:r>
      <w:r w:rsidRPr="009F7625">
        <w:rPr>
          <w:sz w:val="28"/>
          <w:szCs w:val="28"/>
        </w:rPr>
        <w:t xml:space="preserve">viên </w:t>
      </w:r>
      <w:r w:rsidR="007E18C6" w:rsidRPr="009F7625">
        <w:rPr>
          <w:sz w:val="28"/>
          <w:szCs w:val="28"/>
        </w:rPr>
        <w:t xml:space="preserve">không đủ </w:t>
      </w:r>
      <w:r w:rsidRPr="009F7625">
        <w:rPr>
          <w:sz w:val="28"/>
          <w:szCs w:val="28"/>
        </w:rPr>
        <w:t xml:space="preserve">chuyên môn kỹ thuật hoặc khoa học để hoàn thành nhiệm vụ với tư cách là </w:t>
      </w:r>
      <w:r w:rsidR="007E18C6" w:rsidRPr="009F7625">
        <w:rPr>
          <w:sz w:val="28"/>
          <w:szCs w:val="28"/>
        </w:rPr>
        <w:t xml:space="preserve">quốc </w:t>
      </w:r>
      <w:r w:rsidRPr="009F7625">
        <w:rPr>
          <w:sz w:val="28"/>
          <w:szCs w:val="28"/>
        </w:rPr>
        <w:t xml:space="preserve">gia </w:t>
      </w:r>
      <w:r w:rsidR="007E18C6" w:rsidRPr="009F7625">
        <w:rPr>
          <w:sz w:val="28"/>
          <w:szCs w:val="28"/>
        </w:rPr>
        <w:t xml:space="preserve">thành </w:t>
      </w:r>
      <w:r w:rsidRPr="009F7625">
        <w:rPr>
          <w:sz w:val="28"/>
          <w:szCs w:val="28"/>
        </w:rPr>
        <w:t xml:space="preserve">viên báo cáo trong </w:t>
      </w:r>
      <w:r w:rsidR="007E18C6" w:rsidRPr="009F7625">
        <w:rPr>
          <w:sz w:val="28"/>
          <w:szCs w:val="28"/>
        </w:rPr>
        <w:t xml:space="preserve">trong </w:t>
      </w:r>
      <w:r w:rsidRPr="009F7625">
        <w:rPr>
          <w:sz w:val="28"/>
          <w:szCs w:val="28"/>
        </w:rPr>
        <w:t>thời hạn quy định tại Q</w:t>
      </w:r>
      <w:r w:rsidR="007E18C6" w:rsidRPr="009F7625">
        <w:rPr>
          <w:sz w:val="28"/>
          <w:szCs w:val="28"/>
        </w:rPr>
        <w:t>uy định</w:t>
      </w:r>
      <w:r w:rsidRPr="009F7625">
        <w:rPr>
          <w:sz w:val="28"/>
          <w:szCs w:val="28"/>
        </w:rPr>
        <w:t xml:space="preserve"> (EC) số 1107/2009, </w:t>
      </w:r>
      <w:r w:rsidR="007E18C6" w:rsidRPr="009F7625">
        <w:rPr>
          <w:sz w:val="28"/>
          <w:szCs w:val="28"/>
        </w:rPr>
        <w:t xml:space="preserve">cần cho phép </w:t>
      </w:r>
      <w:r w:rsidRPr="009F7625">
        <w:rPr>
          <w:sz w:val="28"/>
          <w:szCs w:val="28"/>
        </w:rPr>
        <w:t xml:space="preserve">các </w:t>
      </w:r>
      <w:r w:rsidR="007E18C6" w:rsidRPr="009F7625">
        <w:rPr>
          <w:sz w:val="28"/>
          <w:szCs w:val="28"/>
        </w:rPr>
        <w:t xml:space="preserve">quốc </w:t>
      </w:r>
      <w:r w:rsidRPr="009F7625">
        <w:rPr>
          <w:sz w:val="28"/>
          <w:szCs w:val="28"/>
        </w:rPr>
        <w:t xml:space="preserve">gia </w:t>
      </w:r>
      <w:r w:rsidR="007E18C6" w:rsidRPr="009F7625">
        <w:rPr>
          <w:sz w:val="28"/>
          <w:szCs w:val="28"/>
        </w:rPr>
        <w:t xml:space="preserve">thành </w:t>
      </w:r>
      <w:r w:rsidRPr="009F7625">
        <w:rPr>
          <w:sz w:val="28"/>
          <w:szCs w:val="28"/>
        </w:rPr>
        <w:t xml:space="preserve">viên báo cáo </w:t>
      </w:r>
      <w:r w:rsidR="007E18C6" w:rsidRPr="009F7625">
        <w:rPr>
          <w:sz w:val="28"/>
          <w:szCs w:val="28"/>
        </w:rPr>
        <w:t>đề nghị</w:t>
      </w:r>
      <w:r w:rsidRPr="009F7625">
        <w:rPr>
          <w:sz w:val="28"/>
          <w:szCs w:val="28"/>
        </w:rPr>
        <w:t xml:space="preserve"> Cơ quan hỗ trợ </w:t>
      </w:r>
      <w:r w:rsidR="007E18C6" w:rsidRPr="009F7625">
        <w:rPr>
          <w:sz w:val="28"/>
          <w:szCs w:val="28"/>
        </w:rPr>
        <w:t>trong quá trình chuẩn bị dự thảo</w:t>
      </w:r>
      <w:r w:rsidRPr="009F7625">
        <w:rPr>
          <w:sz w:val="28"/>
          <w:szCs w:val="28"/>
        </w:rPr>
        <w:t xml:space="preserve"> báo cáo đánh giá</w:t>
      </w:r>
      <w:r w:rsidR="007E18C6" w:rsidRPr="009F7625">
        <w:rPr>
          <w:sz w:val="28"/>
          <w:szCs w:val="28"/>
        </w:rPr>
        <w:t xml:space="preserve"> đối với hồ sơ đề nghị </w:t>
      </w:r>
      <w:r w:rsidRPr="009F7625">
        <w:rPr>
          <w:sz w:val="28"/>
          <w:szCs w:val="28"/>
        </w:rPr>
        <w:t>phê duyệt hoặc gia hạn phê duyệt, đánh giá</w:t>
      </w:r>
      <w:r w:rsidR="007E18C6" w:rsidRPr="009F7625">
        <w:rPr>
          <w:sz w:val="28"/>
          <w:szCs w:val="28"/>
        </w:rPr>
        <w:t xml:space="preserve"> các</w:t>
      </w:r>
      <w:r w:rsidRPr="009F7625">
        <w:rPr>
          <w:sz w:val="28"/>
          <w:szCs w:val="28"/>
        </w:rPr>
        <w:t xml:space="preserve"> thông tin bổ sung được yêu cầu trong quá trình đánh giá và cập nhật </w:t>
      </w:r>
      <w:r w:rsidR="007E18C6" w:rsidRPr="009F7625">
        <w:rPr>
          <w:sz w:val="28"/>
          <w:szCs w:val="28"/>
        </w:rPr>
        <w:t xml:space="preserve">dự thảo </w:t>
      </w:r>
      <w:r w:rsidRPr="009F7625">
        <w:rPr>
          <w:sz w:val="28"/>
          <w:szCs w:val="28"/>
        </w:rPr>
        <w:t xml:space="preserve">báo cáo đánh giá sau khi nộp ban đầu. Cơ quan cần </w:t>
      </w:r>
      <w:r w:rsidR="007E18C6" w:rsidRPr="009F7625">
        <w:rPr>
          <w:sz w:val="28"/>
          <w:szCs w:val="28"/>
        </w:rPr>
        <w:t>quy định các b</w:t>
      </w:r>
      <w:r w:rsidRPr="009F7625">
        <w:rPr>
          <w:sz w:val="28"/>
          <w:szCs w:val="28"/>
        </w:rPr>
        <w:t xml:space="preserve">iện pháp bảo vệ thích hợp để đảm bảo tính độc lập của quá trình đánh giá </w:t>
      </w:r>
      <w:r w:rsidR="007E18C6" w:rsidRPr="009F7625">
        <w:rPr>
          <w:sz w:val="28"/>
          <w:szCs w:val="28"/>
        </w:rPr>
        <w:t>đồng cấp</w:t>
      </w:r>
      <w:r w:rsidRPr="009F7625">
        <w:rPr>
          <w:sz w:val="28"/>
          <w:szCs w:val="28"/>
        </w:rPr>
        <w:t xml:space="preserve"> tiếp theo và tránh mọi xung đột lợi ích đối với các chuyên gia tham gia ở các giai đoạn đánh giá khác nhau.</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18</w:t>
      </w:r>
      <w:r w:rsidR="00727C11" w:rsidRPr="009F7625">
        <w:rPr>
          <w:sz w:val="28"/>
          <w:szCs w:val="28"/>
        </w:rPr>
        <w:t>.</w:t>
      </w:r>
      <w:r w:rsidRPr="009F7625">
        <w:rPr>
          <w:sz w:val="28"/>
          <w:szCs w:val="28"/>
        </w:rPr>
        <w:t xml:space="preserve"> Sau khi</w:t>
      </w:r>
      <w:r w:rsidR="007E18C6" w:rsidRPr="009F7625">
        <w:rPr>
          <w:sz w:val="28"/>
          <w:szCs w:val="28"/>
        </w:rPr>
        <w:t xml:space="preserve"> một hoạt chất không được gia hạn phê duyệt</w:t>
      </w:r>
      <w:r w:rsidRPr="009F7625">
        <w:rPr>
          <w:sz w:val="28"/>
          <w:szCs w:val="28"/>
        </w:rPr>
        <w:t xml:space="preserve">, các </w:t>
      </w:r>
      <w:r w:rsidR="007E18C6" w:rsidRPr="009F7625">
        <w:rPr>
          <w:sz w:val="28"/>
          <w:szCs w:val="28"/>
        </w:rPr>
        <w:t xml:space="preserve">quốc </w:t>
      </w:r>
      <w:r w:rsidRPr="009F7625">
        <w:rPr>
          <w:sz w:val="28"/>
          <w:szCs w:val="28"/>
        </w:rPr>
        <w:t xml:space="preserve">gia </w:t>
      </w:r>
      <w:r w:rsidR="007E18C6" w:rsidRPr="009F7625">
        <w:rPr>
          <w:sz w:val="28"/>
          <w:szCs w:val="28"/>
        </w:rPr>
        <w:t xml:space="preserve">thành </w:t>
      </w:r>
      <w:r w:rsidRPr="009F7625">
        <w:rPr>
          <w:sz w:val="28"/>
          <w:szCs w:val="28"/>
        </w:rPr>
        <w:t xml:space="preserve">viên phải thu hồi tất cả các giấy phép </w:t>
      </w:r>
      <w:r w:rsidR="007E18C6" w:rsidRPr="009F7625">
        <w:rPr>
          <w:sz w:val="28"/>
          <w:szCs w:val="28"/>
        </w:rPr>
        <w:t>của</w:t>
      </w:r>
      <w:r w:rsidRPr="009F7625">
        <w:rPr>
          <w:sz w:val="28"/>
          <w:szCs w:val="28"/>
        </w:rPr>
        <w:t xml:space="preserve"> các sản phẩm bảo vệ thực vật chứa hoạt chất đó</w:t>
      </w:r>
      <w:r w:rsidR="007E18C6" w:rsidRPr="009F7625">
        <w:rPr>
          <w:sz w:val="28"/>
          <w:szCs w:val="28"/>
        </w:rPr>
        <w:t>, đồng thời</w:t>
      </w:r>
      <w:r w:rsidRPr="009F7625">
        <w:rPr>
          <w:sz w:val="28"/>
          <w:szCs w:val="28"/>
        </w:rPr>
        <w:t xml:space="preserve"> nông dân phải ngừng sử dụng các sản phẩm </w:t>
      </w:r>
      <w:r w:rsidR="007E18C6" w:rsidRPr="009F7625">
        <w:rPr>
          <w:sz w:val="28"/>
          <w:szCs w:val="28"/>
        </w:rPr>
        <w:t>này</w:t>
      </w:r>
      <w:r w:rsidRPr="009F7625">
        <w:rPr>
          <w:sz w:val="28"/>
          <w:szCs w:val="28"/>
        </w:rPr>
        <w:t xml:space="preserve">. Trong </w:t>
      </w:r>
      <w:r w:rsidR="007E18C6" w:rsidRPr="009F7625">
        <w:rPr>
          <w:sz w:val="28"/>
          <w:szCs w:val="28"/>
        </w:rPr>
        <w:t>các trường hợp như vậy</w:t>
      </w:r>
      <w:r w:rsidRPr="009F7625">
        <w:rPr>
          <w:sz w:val="28"/>
          <w:szCs w:val="28"/>
        </w:rPr>
        <w:t xml:space="preserve">, các </w:t>
      </w:r>
      <w:r w:rsidR="007E18C6" w:rsidRPr="009F7625">
        <w:rPr>
          <w:sz w:val="28"/>
          <w:szCs w:val="28"/>
        </w:rPr>
        <w:t xml:space="preserve">quốc </w:t>
      </w:r>
      <w:r w:rsidRPr="009F7625">
        <w:rPr>
          <w:sz w:val="28"/>
          <w:szCs w:val="28"/>
        </w:rPr>
        <w:t xml:space="preserve">gia </w:t>
      </w:r>
      <w:r w:rsidR="007E18C6" w:rsidRPr="009F7625">
        <w:rPr>
          <w:sz w:val="28"/>
          <w:szCs w:val="28"/>
        </w:rPr>
        <w:t xml:space="preserve">thành </w:t>
      </w:r>
      <w:r w:rsidRPr="009F7625">
        <w:rPr>
          <w:sz w:val="28"/>
          <w:szCs w:val="28"/>
        </w:rPr>
        <w:t>viên cần</w:t>
      </w:r>
      <w:r w:rsidR="007E18C6" w:rsidRPr="009F7625">
        <w:rPr>
          <w:sz w:val="28"/>
          <w:szCs w:val="28"/>
        </w:rPr>
        <w:t xml:space="preserve"> có</w:t>
      </w:r>
      <w:r w:rsidRPr="009F7625">
        <w:rPr>
          <w:sz w:val="28"/>
          <w:szCs w:val="28"/>
        </w:rPr>
        <w:t xml:space="preserve"> thời gian để thực </w:t>
      </w:r>
      <w:r w:rsidR="00E5049D" w:rsidRPr="009F7625">
        <w:rPr>
          <w:sz w:val="28"/>
          <w:szCs w:val="28"/>
        </w:rPr>
        <w:t xml:space="preserve">thi </w:t>
      </w:r>
      <w:r w:rsidRPr="009F7625">
        <w:rPr>
          <w:sz w:val="28"/>
          <w:szCs w:val="28"/>
        </w:rPr>
        <w:t>việc thu hồi giấy phép sản phẩm</w:t>
      </w:r>
      <w:r w:rsidR="007E18C6" w:rsidRPr="009F7625">
        <w:rPr>
          <w:sz w:val="28"/>
          <w:szCs w:val="28"/>
        </w:rPr>
        <w:t>;</w:t>
      </w:r>
      <w:r w:rsidRPr="009F7625">
        <w:rPr>
          <w:sz w:val="28"/>
          <w:szCs w:val="28"/>
        </w:rPr>
        <w:t xml:space="preserve"> hàng tồn kho hiện có sẽ trở thành chất thải trừ khi có các khoảng thời gian ân hạn (grace periods) cho phép đưa ra thị trường và sử dụng. </w:t>
      </w:r>
      <w:r w:rsidR="007E18C6" w:rsidRPr="009F7625">
        <w:rPr>
          <w:sz w:val="28"/>
          <w:szCs w:val="28"/>
        </w:rPr>
        <w:t>Bên cạnh đó</w:t>
      </w:r>
      <w:r w:rsidRPr="009F7625">
        <w:rPr>
          <w:sz w:val="28"/>
          <w:szCs w:val="28"/>
        </w:rPr>
        <w:t>, nông dân</w:t>
      </w:r>
      <w:r w:rsidR="007E18C6" w:rsidRPr="009F7625">
        <w:rPr>
          <w:sz w:val="28"/>
          <w:szCs w:val="28"/>
        </w:rPr>
        <w:t xml:space="preserve"> cũng</w:t>
      </w:r>
      <w:r w:rsidRPr="009F7625">
        <w:rPr>
          <w:sz w:val="28"/>
          <w:szCs w:val="28"/>
        </w:rPr>
        <w:t xml:space="preserve"> cần thời gian để tìm</w:t>
      </w:r>
      <w:r w:rsidR="007E18C6" w:rsidRPr="009F7625">
        <w:rPr>
          <w:sz w:val="28"/>
          <w:szCs w:val="28"/>
        </w:rPr>
        <w:t xml:space="preserve"> kiếm</w:t>
      </w:r>
      <w:r w:rsidRPr="009F7625">
        <w:rPr>
          <w:sz w:val="28"/>
          <w:szCs w:val="28"/>
        </w:rPr>
        <w:t xml:space="preserve"> các giải pháp thay thế cho các sản phẩm không còn được phép sử dụng. Điều 20 của Quy định (EC) số 1107/2009 quy định</w:t>
      </w:r>
      <w:r w:rsidR="007E18C6" w:rsidRPr="009F7625">
        <w:rPr>
          <w:sz w:val="28"/>
          <w:szCs w:val="28"/>
        </w:rPr>
        <w:t>, trong một số trường hợp nhất định</w:t>
      </w:r>
      <w:r w:rsidRPr="009F7625">
        <w:rPr>
          <w:sz w:val="28"/>
          <w:szCs w:val="28"/>
        </w:rPr>
        <w:t xml:space="preserve"> Ủy ban được </w:t>
      </w:r>
      <w:r w:rsidR="007E18C6" w:rsidRPr="009F7625">
        <w:rPr>
          <w:sz w:val="28"/>
          <w:szCs w:val="28"/>
        </w:rPr>
        <w:t xml:space="preserve">quy định </w:t>
      </w:r>
      <w:r w:rsidRPr="009F7625">
        <w:rPr>
          <w:sz w:val="28"/>
          <w:szCs w:val="28"/>
        </w:rPr>
        <w:t xml:space="preserve">thời gian ân hạn tối đa cho việc đưa ra thị trường và sử dụng hàng tồn kho </w:t>
      </w:r>
      <w:r w:rsidR="007E18C6" w:rsidRPr="009F7625">
        <w:rPr>
          <w:sz w:val="28"/>
          <w:szCs w:val="28"/>
        </w:rPr>
        <w:t xml:space="preserve">hiện có </w:t>
      </w:r>
      <w:r w:rsidRPr="009F7625">
        <w:rPr>
          <w:sz w:val="28"/>
          <w:szCs w:val="28"/>
        </w:rPr>
        <w:t>của các sản phẩm bảo vệ thực vật sắp bị thu hồi</w:t>
      </w:r>
      <w:r w:rsidR="007E18C6" w:rsidRPr="009F7625">
        <w:rPr>
          <w:sz w:val="28"/>
          <w:szCs w:val="28"/>
        </w:rPr>
        <w:t xml:space="preserve"> giấy phép</w:t>
      </w:r>
      <w:r w:rsidRPr="009F7625">
        <w:rPr>
          <w:sz w:val="28"/>
          <w:szCs w:val="28"/>
        </w:rPr>
        <w:t>. Tuy nhiên, các điều kiện quy định tại Điều 20 về thời điểm có thể được cấp thời gian ân hạn tối đa</w:t>
      </w:r>
      <w:r w:rsidR="00E5049D" w:rsidRPr="009F7625">
        <w:rPr>
          <w:sz w:val="28"/>
          <w:szCs w:val="28"/>
        </w:rPr>
        <w:t xml:space="preserve"> này</w:t>
      </w:r>
      <w:r w:rsidRPr="009F7625">
        <w:rPr>
          <w:sz w:val="28"/>
          <w:szCs w:val="28"/>
        </w:rPr>
        <w:t xml:space="preserve"> cần được sửa đổi để làm rõ rằng</w:t>
      </w:r>
      <w:r w:rsidR="00E5049D" w:rsidRPr="009F7625">
        <w:rPr>
          <w:sz w:val="28"/>
          <w:szCs w:val="28"/>
        </w:rPr>
        <w:t>:</w:t>
      </w:r>
      <w:r w:rsidRPr="009F7625">
        <w:rPr>
          <w:sz w:val="28"/>
          <w:szCs w:val="28"/>
        </w:rPr>
        <w:t xml:space="preserve"> việc </w:t>
      </w:r>
      <w:r w:rsidR="00E5049D" w:rsidRPr="009F7625">
        <w:rPr>
          <w:sz w:val="28"/>
          <w:szCs w:val="28"/>
        </w:rPr>
        <w:t>quy định</w:t>
      </w:r>
      <w:r w:rsidRPr="009F7625">
        <w:rPr>
          <w:sz w:val="28"/>
          <w:szCs w:val="28"/>
        </w:rPr>
        <w:t xml:space="preserve"> thời gian ân hạn tối đa cho việc phân phối và sử dụng hàng tồn kho hiện có của các sản phẩm bảo vệ thực vật</w:t>
      </w:r>
      <w:r w:rsidR="00E5049D" w:rsidRPr="009F7625">
        <w:rPr>
          <w:sz w:val="28"/>
          <w:szCs w:val="28"/>
        </w:rPr>
        <w:t xml:space="preserve"> sắp </w:t>
      </w:r>
      <w:r w:rsidR="00E5049D" w:rsidRPr="009F7625">
        <w:rPr>
          <w:sz w:val="28"/>
          <w:szCs w:val="28"/>
        </w:rPr>
        <w:lastRenderedPageBreak/>
        <w:t>bị thu hồi giấy phép có thể được áp dụng chung</w:t>
      </w:r>
      <w:r w:rsidRPr="009F7625">
        <w:rPr>
          <w:sz w:val="28"/>
          <w:szCs w:val="28"/>
        </w:rPr>
        <w:t xml:space="preserve">, trừ các trường hợp có </w:t>
      </w:r>
      <w:r w:rsidR="00E5049D" w:rsidRPr="009F7625">
        <w:rPr>
          <w:sz w:val="28"/>
          <w:szCs w:val="28"/>
        </w:rPr>
        <w:t xml:space="preserve">quan ngại </w:t>
      </w:r>
      <w:r w:rsidRPr="009F7625">
        <w:rPr>
          <w:sz w:val="28"/>
          <w:szCs w:val="28"/>
        </w:rPr>
        <w:t>ngại tức thời và nghiêm trọng đối với sức khỏe con người</w:t>
      </w:r>
      <w:r w:rsidR="00E5049D" w:rsidRPr="009F7625">
        <w:rPr>
          <w:sz w:val="28"/>
          <w:szCs w:val="28"/>
        </w:rPr>
        <w:t>, sức khỏe</w:t>
      </w:r>
      <w:r w:rsidRPr="009F7625">
        <w:rPr>
          <w:sz w:val="28"/>
          <w:szCs w:val="28"/>
        </w:rPr>
        <w:t xml:space="preserve"> động vật hoặc môi trường</w:t>
      </w:r>
      <w:r w:rsidR="00E5049D" w:rsidRPr="009F7625">
        <w:rPr>
          <w:sz w:val="28"/>
          <w:szCs w:val="28"/>
        </w:rPr>
        <w:t>, đồng thời</w:t>
      </w:r>
      <w:r w:rsidRPr="009F7625">
        <w:rPr>
          <w:sz w:val="28"/>
          <w:szCs w:val="28"/>
        </w:rPr>
        <w:t xml:space="preserve"> làm rõ mối liên hệ với Điều 46. Ngoài ra, </w:t>
      </w:r>
      <w:r w:rsidR="00E5049D" w:rsidRPr="009F7625">
        <w:rPr>
          <w:sz w:val="28"/>
          <w:szCs w:val="28"/>
        </w:rPr>
        <w:t>hiện nay mức</w:t>
      </w:r>
      <w:r w:rsidRPr="009F7625">
        <w:rPr>
          <w:sz w:val="28"/>
          <w:szCs w:val="28"/>
        </w:rPr>
        <w:t xml:space="preserve"> thời gian </w:t>
      </w:r>
      <w:r w:rsidR="00E5049D" w:rsidRPr="009F7625">
        <w:rPr>
          <w:sz w:val="28"/>
          <w:szCs w:val="28"/>
        </w:rPr>
        <w:t>thời gian ân hạn tối đa</w:t>
      </w:r>
      <w:r w:rsidRPr="009F7625">
        <w:rPr>
          <w:sz w:val="28"/>
          <w:szCs w:val="28"/>
        </w:rPr>
        <w:t xml:space="preserve"> là 18 tháng </w:t>
      </w:r>
      <w:r w:rsidR="00E5049D" w:rsidRPr="009F7625">
        <w:rPr>
          <w:sz w:val="28"/>
          <w:szCs w:val="28"/>
        </w:rPr>
        <w:t xml:space="preserve">là </w:t>
      </w:r>
      <w:r w:rsidRPr="009F7625">
        <w:rPr>
          <w:sz w:val="28"/>
          <w:szCs w:val="28"/>
        </w:rPr>
        <w:t xml:space="preserve">không đủ trong trường hợp không có sản phẩm bảo vệ thực vật thay thế nào trên thị trường tại một </w:t>
      </w:r>
      <w:r w:rsidR="00E5049D" w:rsidRPr="009F7625">
        <w:rPr>
          <w:sz w:val="28"/>
          <w:szCs w:val="28"/>
        </w:rPr>
        <w:t xml:space="preserve">quốc </w:t>
      </w:r>
      <w:r w:rsidRPr="009F7625">
        <w:rPr>
          <w:sz w:val="28"/>
          <w:szCs w:val="28"/>
        </w:rPr>
        <w:t xml:space="preserve">gia </w:t>
      </w:r>
      <w:r w:rsidR="00E5049D" w:rsidRPr="009F7625">
        <w:rPr>
          <w:sz w:val="28"/>
          <w:szCs w:val="28"/>
        </w:rPr>
        <w:t xml:space="preserve">thành </w:t>
      </w:r>
      <w:r w:rsidRPr="009F7625">
        <w:rPr>
          <w:sz w:val="28"/>
          <w:szCs w:val="28"/>
        </w:rPr>
        <w:t xml:space="preserve">viên cụ thể </w:t>
      </w:r>
      <w:r w:rsidR="00E5049D" w:rsidRPr="009F7625">
        <w:rPr>
          <w:sz w:val="28"/>
          <w:szCs w:val="28"/>
        </w:rPr>
        <w:t xml:space="preserve">vào </w:t>
      </w:r>
      <w:r w:rsidRPr="009F7625">
        <w:rPr>
          <w:sz w:val="28"/>
          <w:szCs w:val="28"/>
        </w:rPr>
        <w:t xml:space="preserve">thời điểm thu hồi giấy phép. Do đó, thời gian ân hạn tối đa mà các </w:t>
      </w:r>
      <w:r w:rsidR="00E5049D" w:rsidRPr="009F7625">
        <w:rPr>
          <w:sz w:val="28"/>
          <w:szCs w:val="28"/>
        </w:rPr>
        <w:t xml:space="preserve">quốc </w:t>
      </w:r>
      <w:r w:rsidRPr="009F7625">
        <w:rPr>
          <w:sz w:val="28"/>
          <w:szCs w:val="28"/>
        </w:rPr>
        <w:t xml:space="preserve">gia </w:t>
      </w:r>
      <w:r w:rsidR="00E5049D" w:rsidRPr="009F7625">
        <w:rPr>
          <w:sz w:val="28"/>
          <w:szCs w:val="28"/>
        </w:rPr>
        <w:t>th</w:t>
      </w:r>
      <w:r w:rsidRPr="009F7625">
        <w:rPr>
          <w:sz w:val="28"/>
          <w:szCs w:val="28"/>
        </w:rPr>
        <w:t xml:space="preserve">ành viên có thể </w:t>
      </w:r>
      <w:r w:rsidR="00E5049D" w:rsidRPr="009F7625">
        <w:rPr>
          <w:sz w:val="28"/>
          <w:szCs w:val="28"/>
        </w:rPr>
        <w:t>quy định được</w:t>
      </w:r>
      <w:r w:rsidRPr="009F7625">
        <w:rPr>
          <w:sz w:val="28"/>
          <w:szCs w:val="28"/>
        </w:rPr>
        <w:t xml:space="preserve"> tăng lên tổng thời gian là 3 năm</w:t>
      </w:r>
      <w:r w:rsidR="00E5049D" w:rsidRPr="009F7625">
        <w:rPr>
          <w:sz w:val="28"/>
          <w:szCs w:val="28"/>
        </w:rPr>
        <w:t xml:space="preserve"> để</w:t>
      </w:r>
      <w:r w:rsidRPr="009F7625">
        <w:rPr>
          <w:sz w:val="28"/>
          <w:szCs w:val="28"/>
        </w:rPr>
        <w:t xml:space="preserve"> cho phép các Quốc gia Thành viên có đủ thời gian cấp phép các sản phẩm bảo vệ thực vật thay thế và cho phép nông dân điều chỉnh các giải pháp bảo vệ cây trồng của họ. Vì những lý do tương tự, thời gian ân hạn mà các </w:t>
      </w:r>
      <w:r w:rsidR="00E5049D" w:rsidRPr="009F7625">
        <w:rPr>
          <w:sz w:val="28"/>
          <w:szCs w:val="28"/>
        </w:rPr>
        <w:t xml:space="preserve">quốc </w:t>
      </w:r>
      <w:r w:rsidRPr="009F7625">
        <w:rPr>
          <w:sz w:val="28"/>
          <w:szCs w:val="28"/>
        </w:rPr>
        <w:t xml:space="preserve">gia </w:t>
      </w:r>
      <w:r w:rsidR="00E5049D" w:rsidRPr="009F7625">
        <w:rPr>
          <w:sz w:val="28"/>
          <w:szCs w:val="28"/>
        </w:rPr>
        <w:t xml:space="preserve">thành </w:t>
      </w:r>
      <w:r w:rsidRPr="009F7625">
        <w:rPr>
          <w:sz w:val="28"/>
          <w:szCs w:val="28"/>
        </w:rPr>
        <w:t xml:space="preserve">viên có thể cấp theo Điều 46 sau khi thu hồi hoặc sửa đổi giấy phép cần được điều chỉnh </w:t>
      </w:r>
      <w:r w:rsidR="00E5049D" w:rsidRPr="009F7625">
        <w:rPr>
          <w:sz w:val="28"/>
          <w:szCs w:val="28"/>
        </w:rPr>
        <w:t>thống nhất</w:t>
      </w:r>
      <w:r w:rsidRPr="009F7625">
        <w:rPr>
          <w:sz w:val="28"/>
          <w:szCs w:val="28"/>
        </w:rPr>
        <w:t xml:space="preserve"> với mức tối đa có thể theo Điều 20.</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19</w:t>
      </w:r>
      <w:r w:rsidR="00727C11" w:rsidRPr="009F7625">
        <w:rPr>
          <w:sz w:val="28"/>
          <w:szCs w:val="28"/>
        </w:rPr>
        <w:t>.</w:t>
      </w:r>
      <w:r w:rsidRPr="009F7625">
        <w:rPr>
          <w:sz w:val="28"/>
          <w:szCs w:val="28"/>
        </w:rPr>
        <w:t xml:space="preserve"> Yêu cầu các </w:t>
      </w:r>
      <w:r w:rsidR="00E5049D" w:rsidRPr="009F7625">
        <w:rPr>
          <w:sz w:val="28"/>
          <w:szCs w:val="28"/>
        </w:rPr>
        <w:t xml:space="preserve">quốc </w:t>
      </w:r>
      <w:r w:rsidRPr="009F7625">
        <w:rPr>
          <w:sz w:val="28"/>
          <w:szCs w:val="28"/>
        </w:rPr>
        <w:t xml:space="preserve">gia </w:t>
      </w:r>
      <w:r w:rsidR="00E5049D" w:rsidRPr="009F7625">
        <w:rPr>
          <w:sz w:val="28"/>
          <w:szCs w:val="28"/>
        </w:rPr>
        <w:t xml:space="preserve">thành </w:t>
      </w:r>
      <w:r w:rsidRPr="009F7625">
        <w:rPr>
          <w:sz w:val="28"/>
          <w:szCs w:val="28"/>
        </w:rPr>
        <w:t xml:space="preserve">viên xem xét kiến thức khoa học và kỹ thuật hiện </w:t>
      </w:r>
      <w:r w:rsidR="00E5049D" w:rsidRPr="009F7625">
        <w:rPr>
          <w:sz w:val="28"/>
          <w:szCs w:val="28"/>
        </w:rPr>
        <w:t xml:space="preserve">hành </w:t>
      </w:r>
      <w:r w:rsidRPr="009F7625">
        <w:rPr>
          <w:sz w:val="28"/>
          <w:szCs w:val="28"/>
        </w:rPr>
        <w:t>liên quan đến hoạt chất trong bối cảnh cấp phép</w:t>
      </w:r>
      <w:r w:rsidR="00E5049D" w:rsidRPr="009F7625">
        <w:rPr>
          <w:sz w:val="28"/>
          <w:szCs w:val="28"/>
        </w:rPr>
        <w:t xml:space="preserve"> đối với</w:t>
      </w:r>
      <w:r w:rsidRPr="009F7625">
        <w:rPr>
          <w:sz w:val="28"/>
          <w:szCs w:val="28"/>
        </w:rPr>
        <w:t xml:space="preserve"> sản phẩm đã dẫn đến một số nhầm lẫn và cách hiểu khác nhau giữa các </w:t>
      </w:r>
      <w:r w:rsidR="00E5049D" w:rsidRPr="009F7625">
        <w:rPr>
          <w:sz w:val="28"/>
          <w:szCs w:val="28"/>
        </w:rPr>
        <w:t xml:space="preserve">quốc </w:t>
      </w:r>
      <w:r w:rsidRPr="009F7625">
        <w:rPr>
          <w:sz w:val="28"/>
          <w:szCs w:val="28"/>
        </w:rPr>
        <w:t xml:space="preserve">gia </w:t>
      </w:r>
      <w:r w:rsidR="00E5049D" w:rsidRPr="009F7625">
        <w:rPr>
          <w:sz w:val="28"/>
          <w:szCs w:val="28"/>
        </w:rPr>
        <w:t xml:space="preserve">thành </w:t>
      </w:r>
      <w:r w:rsidRPr="009F7625">
        <w:rPr>
          <w:sz w:val="28"/>
          <w:szCs w:val="28"/>
        </w:rPr>
        <w:t xml:space="preserve">viên, </w:t>
      </w:r>
      <w:r w:rsidR="001B27AB" w:rsidRPr="009F7625">
        <w:rPr>
          <w:sz w:val="28"/>
          <w:szCs w:val="28"/>
        </w:rPr>
        <w:t>hệ quả là</w:t>
      </w:r>
      <w:r w:rsidR="00191A96" w:rsidRPr="009F7625">
        <w:rPr>
          <w:sz w:val="28"/>
          <w:szCs w:val="28"/>
        </w:rPr>
        <w:t xml:space="preserve"> </w:t>
      </w:r>
      <w:r w:rsidRPr="009F7625">
        <w:rPr>
          <w:sz w:val="28"/>
          <w:szCs w:val="28"/>
        </w:rPr>
        <w:t xml:space="preserve">kết quả đánh giá rủi ro </w:t>
      </w:r>
      <w:r w:rsidR="001B27AB" w:rsidRPr="009F7625">
        <w:rPr>
          <w:sz w:val="28"/>
          <w:szCs w:val="28"/>
        </w:rPr>
        <w:t>bị sai khác</w:t>
      </w:r>
      <w:r w:rsidR="00E5049D" w:rsidRPr="009F7625">
        <w:rPr>
          <w:sz w:val="28"/>
          <w:szCs w:val="28"/>
        </w:rPr>
        <w:t xml:space="preserve">. </w:t>
      </w:r>
      <w:r w:rsidR="001B27AB" w:rsidRPr="009F7625">
        <w:rPr>
          <w:sz w:val="28"/>
          <w:szCs w:val="28"/>
        </w:rPr>
        <w:t>Điều này dẫn tới sự bất bình đẳng trong việc</w:t>
      </w:r>
      <w:r w:rsidR="00E5049D" w:rsidRPr="009F7625">
        <w:rPr>
          <w:sz w:val="28"/>
          <w:szCs w:val="28"/>
        </w:rPr>
        <w:t xml:space="preserve"> tiếp cận các sản phẩm bảo vệ thực vật đối </w:t>
      </w:r>
      <w:r w:rsidR="00BD42C4" w:rsidRPr="009F7625">
        <w:rPr>
          <w:sz w:val="28"/>
          <w:szCs w:val="28"/>
        </w:rPr>
        <w:t xml:space="preserve">với </w:t>
      </w:r>
      <w:r w:rsidRPr="009F7625">
        <w:rPr>
          <w:sz w:val="28"/>
          <w:szCs w:val="28"/>
        </w:rPr>
        <w:t>nông dân</w:t>
      </w:r>
      <w:r w:rsidR="00E5049D" w:rsidRPr="009F7625">
        <w:rPr>
          <w:sz w:val="28"/>
          <w:szCs w:val="28"/>
        </w:rPr>
        <w:t xml:space="preserve"> tại các quốc gia thành viên</w:t>
      </w:r>
      <w:r w:rsidRPr="009F7625">
        <w:rPr>
          <w:sz w:val="28"/>
          <w:szCs w:val="28"/>
        </w:rPr>
        <w:t xml:space="preserve">. Do đó, cần làm rõ rằng </w:t>
      </w:r>
      <w:r w:rsidR="001B27AB" w:rsidRPr="009F7625">
        <w:rPr>
          <w:sz w:val="28"/>
          <w:szCs w:val="28"/>
        </w:rPr>
        <w:t xml:space="preserve">thông thường </w:t>
      </w:r>
      <w:r w:rsidRPr="009F7625">
        <w:rPr>
          <w:sz w:val="28"/>
          <w:szCs w:val="28"/>
        </w:rPr>
        <w:t xml:space="preserve">các </w:t>
      </w:r>
      <w:r w:rsidR="001B27AB" w:rsidRPr="009F7625">
        <w:rPr>
          <w:sz w:val="28"/>
          <w:szCs w:val="28"/>
        </w:rPr>
        <w:t xml:space="preserve">quốc </w:t>
      </w:r>
      <w:r w:rsidRPr="009F7625">
        <w:rPr>
          <w:sz w:val="28"/>
          <w:szCs w:val="28"/>
        </w:rPr>
        <w:t xml:space="preserve">gia </w:t>
      </w:r>
      <w:r w:rsidR="001B27AB" w:rsidRPr="009F7625">
        <w:rPr>
          <w:sz w:val="28"/>
          <w:szCs w:val="28"/>
        </w:rPr>
        <w:t xml:space="preserve">thành </w:t>
      </w:r>
      <w:r w:rsidRPr="009F7625">
        <w:rPr>
          <w:sz w:val="28"/>
          <w:szCs w:val="28"/>
        </w:rPr>
        <w:t>viên nên dựa vào các đánh giá</w:t>
      </w:r>
      <w:r w:rsidR="001B27AB" w:rsidRPr="009F7625">
        <w:rPr>
          <w:sz w:val="28"/>
          <w:szCs w:val="28"/>
        </w:rPr>
        <w:t xml:space="preserve"> hoạt chất</w:t>
      </w:r>
      <w:r w:rsidR="00191A96" w:rsidRPr="009F7625">
        <w:rPr>
          <w:sz w:val="28"/>
          <w:szCs w:val="28"/>
        </w:rPr>
        <w:t xml:space="preserve"> </w:t>
      </w:r>
      <w:r w:rsidR="001B27AB" w:rsidRPr="009F7625">
        <w:rPr>
          <w:sz w:val="28"/>
          <w:szCs w:val="28"/>
        </w:rPr>
        <w:t>mới nhất ở cấp độ Liên minh;</w:t>
      </w:r>
      <w:r w:rsidRPr="009F7625">
        <w:rPr>
          <w:sz w:val="28"/>
          <w:szCs w:val="28"/>
        </w:rPr>
        <w:t xml:space="preserve"> đồng thời thừa nhận rằng </w:t>
      </w:r>
      <w:r w:rsidR="001B27AB" w:rsidRPr="009F7625">
        <w:rPr>
          <w:sz w:val="28"/>
          <w:szCs w:val="28"/>
        </w:rPr>
        <w:t>việc cập nhật có thể là cần thiết và trong những trường hợp đó, các Quốc gia thành viên cần thông báo cho Ủy ban để các kiến thức khoa học và kỹ thuật được đánh giá một cách hài hòa</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20</w:t>
      </w:r>
      <w:r w:rsidR="00727C11" w:rsidRPr="009F7625">
        <w:rPr>
          <w:sz w:val="28"/>
          <w:szCs w:val="28"/>
        </w:rPr>
        <w:t>.</w:t>
      </w:r>
      <w:r w:rsidRPr="009F7625">
        <w:rPr>
          <w:sz w:val="28"/>
          <w:szCs w:val="28"/>
        </w:rPr>
        <w:t xml:space="preserve"> Quy định (EU) 2016/2031 nhằm ngăn chặn sự xâm nhập</w:t>
      </w:r>
      <w:r w:rsidR="001B27AB" w:rsidRPr="009F7625">
        <w:rPr>
          <w:sz w:val="28"/>
          <w:szCs w:val="28"/>
        </w:rPr>
        <w:t xml:space="preserve"> quần thể</w:t>
      </w:r>
      <w:r w:rsidRPr="009F7625">
        <w:rPr>
          <w:sz w:val="28"/>
          <w:szCs w:val="28"/>
        </w:rPr>
        <w:t xml:space="preserve"> hoặc lây lan của các </w:t>
      </w:r>
      <w:r w:rsidR="001B27AB" w:rsidRPr="009F7625">
        <w:rPr>
          <w:sz w:val="28"/>
          <w:szCs w:val="28"/>
        </w:rPr>
        <w:t xml:space="preserve">sinh vật </w:t>
      </w:r>
      <w:r w:rsidRPr="009F7625">
        <w:rPr>
          <w:sz w:val="28"/>
          <w:szCs w:val="28"/>
        </w:rPr>
        <w:t xml:space="preserve">gây hại có thể gây ra </w:t>
      </w:r>
      <w:r w:rsidR="001B27AB" w:rsidRPr="009F7625">
        <w:rPr>
          <w:sz w:val="28"/>
          <w:szCs w:val="28"/>
        </w:rPr>
        <w:t>những tác động không thể chấp nhận được về</w:t>
      </w:r>
      <w:r w:rsidRPr="009F7625">
        <w:rPr>
          <w:sz w:val="28"/>
          <w:szCs w:val="28"/>
        </w:rPr>
        <w:t xml:space="preserve"> kinh tế, môi trường hoặc xã hội trên lãnh thổ Liên minh, bao gồm các tác động </w:t>
      </w:r>
      <w:r w:rsidR="001B27AB" w:rsidRPr="009F7625">
        <w:rPr>
          <w:sz w:val="28"/>
          <w:szCs w:val="28"/>
        </w:rPr>
        <w:t xml:space="preserve">đối với </w:t>
      </w:r>
      <w:r w:rsidRPr="009F7625">
        <w:rPr>
          <w:sz w:val="28"/>
          <w:szCs w:val="28"/>
        </w:rPr>
        <w:t>sản xuất nông nghiệp.</w:t>
      </w:r>
      <w:r w:rsidR="001B27AB" w:rsidRPr="009F7625">
        <w:rPr>
          <w:sz w:val="28"/>
          <w:szCs w:val="28"/>
        </w:rPr>
        <w:t xml:space="preserve"> Việc bảo đảm sự sẵn có kịp thời của các mục đích sử dụng sản phẩm bảo vệ thực vật đã được cấp phép là yếu tố thiết yếu để thực hiện các quy định của Quy định này. Tuy nhiên, các quốc gia thành viên đã nhiều lần nêu khó khăn trong vấn đề nêu trên. Do đó, cần tạo điều kiện để bảo đảm các mục đích sử dụng đã được cấp phép của sản phẩm bảo vệ thực vật có thể được triển khai kịp thời trên toàn bộ các quốc gia thành viên nhằm ngăn chặn sự xâm nhập vào Liên minh và sự lây lan trong nội bộ Liên minh của các sinh vật gây hại được liệt kê theo </w:t>
      </w:r>
      <w:r w:rsidR="008D6166" w:rsidRPr="009F7625">
        <w:rPr>
          <w:sz w:val="28"/>
          <w:szCs w:val="28"/>
        </w:rPr>
        <w:t xml:space="preserve">Khoản 2 </w:t>
      </w:r>
      <w:r w:rsidR="001B27AB" w:rsidRPr="009F7625">
        <w:rPr>
          <w:sz w:val="28"/>
          <w:szCs w:val="28"/>
        </w:rPr>
        <w:t>Điều 5,</w:t>
      </w:r>
      <w:r w:rsidR="008D6166" w:rsidRPr="009F7625">
        <w:rPr>
          <w:sz w:val="28"/>
          <w:szCs w:val="28"/>
        </w:rPr>
        <w:t xml:space="preserve"> Khoản 1 Điều</w:t>
      </w:r>
      <w:r w:rsidR="001B27AB" w:rsidRPr="009F7625">
        <w:rPr>
          <w:sz w:val="28"/>
          <w:szCs w:val="28"/>
        </w:rPr>
        <w:t xml:space="preserve"> 30,</w:t>
      </w:r>
      <w:r w:rsidR="008D6166" w:rsidRPr="009F7625">
        <w:rPr>
          <w:sz w:val="28"/>
          <w:szCs w:val="28"/>
        </w:rPr>
        <w:t xml:space="preserve"> Khoản 3 Điều</w:t>
      </w:r>
      <w:r w:rsidR="001B27AB" w:rsidRPr="009F7625">
        <w:rPr>
          <w:sz w:val="28"/>
          <w:szCs w:val="28"/>
        </w:rPr>
        <w:t xml:space="preserve"> 32 và </w:t>
      </w:r>
      <w:r w:rsidR="008D6166" w:rsidRPr="009F7625">
        <w:rPr>
          <w:sz w:val="28"/>
          <w:szCs w:val="28"/>
        </w:rPr>
        <w:t xml:space="preserve">Khoản 2 Điều </w:t>
      </w:r>
      <w:r w:rsidR="001B27AB" w:rsidRPr="009F7625">
        <w:rPr>
          <w:sz w:val="28"/>
          <w:szCs w:val="28"/>
        </w:rPr>
        <w:t>37 của Quy định (EU) 2016/2031</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21</w:t>
      </w:r>
      <w:r w:rsidR="00727C11" w:rsidRPr="009F7625">
        <w:rPr>
          <w:sz w:val="28"/>
          <w:szCs w:val="28"/>
        </w:rPr>
        <w:t>.</w:t>
      </w:r>
      <w:r w:rsidR="00191A96" w:rsidRPr="009F7625">
        <w:rPr>
          <w:sz w:val="28"/>
          <w:szCs w:val="28"/>
        </w:rPr>
        <w:t xml:space="preserve"> </w:t>
      </w:r>
      <w:r w:rsidR="001B27AB" w:rsidRPr="009F7625">
        <w:rPr>
          <w:sz w:val="28"/>
          <w:szCs w:val="28"/>
        </w:rPr>
        <w:t xml:space="preserve">Nhằm </w:t>
      </w:r>
      <w:r w:rsidRPr="009F7625">
        <w:rPr>
          <w:sz w:val="28"/>
          <w:szCs w:val="28"/>
        </w:rPr>
        <w:t xml:space="preserve">ngăn chặn việc lạm dụng hệ thống công nhận lẫn nhau </w:t>
      </w:r>
      <w:r w:rsidR="001B27AB" w:rsidRPr="009F7625">
        <w:rPr>
          <w:sz w:val="28"/>
          <w:szCs w:val="28"/>
        </w:rPr>
        <w:t xml:space="preserve">trong bối cảnh các quốc gia thành viên quy định </w:t>
      </w:r>
      <w:r w:rsidRPr="009F7625">
        <w:rPr>
          <w:sz w:val="28"/>
          <w:szCs w:val="28"/>
        </w:rPr>
        <w:t>các mức phí khác nhau cho</w:t>
      </w:r>
      <w:r w:rsidR="001B27AB" w:rsidRPr="009F7625">
        <w:rPr>
          <w:sz w:val="28"/>
          <w:szCs w:val="28"/>
        </w:rPr>
        <w:t xml:space="preserve"> việc cấp phép</w:t>
      </w:r>
      <w:r w:rsidRPr="009F7625">
        <w:rPr>
          <w:sz w:val="28"/>
          <w:szCs w:val="28"/>
        </w:rPr>
        <w:t xml:space="preserve"> các sản phẩm bảo vệ thực vật,</w:t>
      </w:r>
      <w:r w:rsidR="001B27AB" w:rsidRPr="009F7625">
        <w:rPr>
          <w:sz w:val="28"/>
          <w:szCs w:val="28"/>
        </w:rPr>
        <w:t xml:space="preserve"> việc</w:t>
      </w:r>
      <w:r w:rsidR="008B34C3" w:rsidRPr="009F7625">
        <w:rPr>
          <w:sz w:val="28"/>
          <w:szCs w:val="28"/>
        </w:rPr>
        <w:t xml:space="preserve"> nộp</w:t>
      </w:r>
      <w:r w:rsidR="001B27AB" w:rsidRPr="009F7625">
        <w:rPr>
          <w:sz w:val="28"/>
          <w:szCs w:val="28"/>
        </w:rPr>
        <w:t xml:space="preserve">hồ sơ đề nghị </w:t>
      </w:r>
      <w:r w:rsidRPr="009F7625">
        <w:rPr>
          <w:sz w:val="28"/>
          <w:szCs w:val="28"/>
        </w:rPr>
        <w:t>công nhận lẫn nhau đối với giấy phép</w:t>
      </w:r>
      <w:r w:rsidR="001B27AB" w:rsidRPr="009F7625">
        <w:rPr>
          <w:sz w:val="28"/>
          <w:szCs w:val="28"/>
        </w:rPr>
        <w:t xml:space="preserve"> của một</w:t>
      </w:r>
      <w:r w:rsidRPr="009F7625">
        <w:rPr>
          <w:sz w:val="28"/>
          <w:szCs w:val="28"/>
        </w:rPr>
        <w:t xml:space="preserve"> sản phẩm chỉ được thực hiện </w:t>
      </w:r>
      <w:r w:rsidR="001B27AB" w:rsidRPr="009F7625">
        <w:rPr>
          <w:sz w:val="28"/>
          <w:szCs w:val="28"/>
        </w:rPr>
        <w:t xml:space="preserve">khi </w:t>
      </w:r>
      <w:r w:rsidRPr="009F7625">
        <w:rPr>
          <w:sz w:val="28"/>
          <w:szCs w:val="28"/>
        </w:rPr>
        <w:t xml:space="preserve">sản phẩm </w:t>
      </w:r>
      <w:r w:rsidR="00AE2A39" w:rsidRPr="009F7625">
        <w:rPr>
          <w:sz w:val="28"/>
          <w:szCs w:val="28"/>
        </w:rPr>
        <w:t>đóđã</w:t>
      </w:r>
      <w:r w:rsidRPr="009F7625">
        <w:rPr>
          <w:sz w:val="28"/>
          <w:szCs w:val="28"/>
        </w:rPr>
        <w:t xml:space="preserve"> được </w:t>
      </w:r>
      <w:r w:rsidR="00AE2A39" w:rsidRPr="009F7625">
        <w:rPr>
          <w:sz w:val="28"/>
          <w:szCs w:val="28"/>
        </w:rPr>
        <w:t xml:space="preserve">lưu thôngtrên thị trường tại quốc </w:t>
      </w:r>
      <w:r w:rsidRPr="009F7625">
        <w:rPr>
          <w:sz w:val="28"/>
          <w:szCs w:val="28"/>
        </w:rPr>
        <w:t xml:space="preserve">gia </w:t>
      </w:r>
      <w:r w:rsidR="00AE2A39" w:rsidRPr="009F7625">
        <w:rPr>
          <w:sz w:val="28"/>
          <w:szCs w:val="28"/>
        </w:rPr>
        <w:t xml:space="preserve">thành </w:t>
      </w:r>
      <w:r w:rsidRPr="009F7625">
        <w:rPr>
          <w:sz w:val="28"/>
          <w:szCs w:val="28"/>
        </w:rPr>
        <w:t xml:space="preserve">viên tham chiếu (reference Member State). </w:t>
      </w:r>
      <w:r w:rsidR="00AE2A39" w:rsidRPr="009F7625">
        <w:rPr>
          <w:sz w:val="28"/>
          <w:szCs w:val="28"/>
        </w:rPr>
        <w:t>Ngoài ra</w:t>
      </w:r>
      <w:r w:rsidRPr="009F7625">
        <w:rPr>
          <w:sz w:val="28"/>
          <w:szCs w:val="28"/>
        </w:rPr>
        <w:t xml:space="preserve">, trong trường hợp các </w:t>
      </w:r>
      <w:r w:rsidR="00AE2A39" w:rsidRPr="009F7625">
        <w:rPr>
          <w:sz w:val="28"/>
          <w:szCs w:val="28"/>
        </w:rPr>
        <w:t>doanh nghiệp</w:t>
      </w:r>
      <w:r w:rsidRPr="009F7625">
        <w:rPr>
          <w:sz w:val="28"/>
          <w:szCs w:val="28"/>
        </w:rPr>
        <w:t xml:space="preserve"> chỉ </w:t>
      </w:r>
      <w:r w:rsidR="00AE2A39" w:rsidRPr="009F7625">
        <w:rPr>
          <w:sz w:val="28"/>
          <w:szCs w:val="28"/>
        </w:rPr>
        <w:t xml:space="preserve">nộp hồ sơ đề nghị </w:t>
      </w:r>
      <w:r w:rsidRPr="009F7625">
        <w:rPr>
          <w:sz w:val="28"/>
          <w:szCs w:val="28"/>
        </w:rPr>
        <w:t xml:space="preserve">cấp phép </w:t>
      </w:r>
      <w:r w:rsidR="00AE2A39" w:rsidRPr="009F7625">
        <w:rPr>
          <w:sz w:val="28"/>
          <w:szCs w:val="28"/>
        </w:rPr>
        <w:t xml:space="preserve">đối với </w:t>
      </w:r>
      <w:r w:rsidRPr="009F7625">
        <w:rPr>
          <w:sz w:val="28"/>
          <w:szCs w:val="28"/>
        </w:rPr>
        <w:t xml:space="preserve">một sản phẩm bảo vệ thực vật ở một số </w:t>
      </w:r>
      <w:r w:rsidR="00AE2A39" w:rsidRPr="009F7625">
        <w:rPr>
          <w:sz w:val="28"/>
          <w:szCs w:val="28"/>
        </w:rPr>
        <w:t xml:space="preserve">quốc </w:t>
      </w:r>
      <w:r w:rsidRPr="009F7625">
        <w:rPr>
          <w:sz w:val="28"/>
          <w:szCs w:val="28"/>
        </w:rPr>
        <w:t xml:space="preserve">gia </w:t>
      </w:r>
      <w:r w:rsidR="00AE2A39" w:rsidRPr="009F7625">
        <w:rPr>
          <w:sz w:val="28"/>
          <w:szCs w:val="28"/>
        </w:rPr>
        <w:t xml:space="preserve">thành </w:t>
      </w:r>
      <w:r w:rsidRPr="009F7625">
        <w:rPr>
          <w:sz w:val="28"/>
          <w:szCs w:val="28"/>
        </w:rPr>
        <w:t xml:space="preserve">viên nhất định mà không </w:t>
      </w:r>
      <w:r w:rsidR="00AE2A39" w:rsidRPr="009F7625">
        <w:rPr>
          <w:sz w:val="28"/>
          <w:szCs w:val="28"/>
        </w:rPr>
        <w:t xml:space="preserve">nộp tại </w:t>
      </w:r>
      <w:r w:rsidRPr="009F7625">
        <w:rPr>
          <w:sz w:val="28"/>
          <w:szCs w:val="28"/>
        </w:rPr>
        <w:t xml:space="preserve">các </w:t>
      </w:r>
      <w:r w:rsidR="00AE2A39" w:rsidRPr="009F7625">
        <w:rPr>
          <w:sz w:val="28"/>
          <w:szCs w:val="28"/>
        </w:rPr>
        <w:t xml:space="preserve">quốc gia thành viên </w:t>
      </w:r>
      <w:r w:rsidRPr="009F7625">
        <w:rPr>
          <w:sz w:val="28"/>
          <w:szCs w:val="28"/>
        </w:rPr>
        <w:t xml:space="preserve">khác, cần tạo điều kiện </w:t>
      </w:r>
      <w:r w:rsidR="00AE2A39" w:rsidRPr="009F7625">
        <w:rPr>
          <w:sz w:val="28"/>
          <w:szCs w:val="28"/>
        </w:rPr>
        <w:t>thuận lợi</w:t>
      </w:r>
      <w:r w:rsidRPr="009F7625">
        <w:rPr>
          <w:sz w:val="28"/>
          <w:szCs w:val="28"/>
        </w:rPr>
        <w:t xml:space="preserve"> hơn </w:t>
      </w:r>
      <w:r w:rsidR="00AE2A39" w:rsidRPr="009F7625">
        <w:rPr>
          <w:sz w:val="28"/>
          <w:szCs w:val="28"/>
        </w:rPr>
        <w:t>để các cơ quan chuyên môn, tổ chức khoa học hoạt động trong lĩnh vực</w:t>
      </w:r>
      <w:r w:rsidRPr="009F7625">
        <w:rPr>
          <w:sz w:val="28"/>
          <w:szCs w:val="28"/>
        </w:rPr>
        <w:t xml:space="preserve"> nông nghiệp </w:t>
      </w:r>
      <w:r w:rsidRPr="009F7625">
        <w:rPr>
          <w:sz w:val="28"/>
          <w:szCs w:val="28"/>
        </w:rPr>
        <w:lastRenderedPageBreak/>
        <w:t xml:space="preserve">hoặc các tổ chức nông nghiệp chuyên nghiệp </w:t>
      </w:r>
      <w:r w:rsidR="00AE2A39" w:rsidRPr="009F7625">
        <w:rPr>
          <w:sz w:val="28"/>
          <w:szCs w:val="28"/>
        </w:rPr>
        <w:t>nộp hồ sơ đề nghị</w:t>
      </w:r>
      <w:r w:rsidRPr="009F7625">
        <w:rPr>
          <w:sz w:val="28"/>
          <w:szCs w:val="28"/>
        </w:rPr>
        <w:t xml:space="preserve"> công nhận lẫn nhau tại các </w:t>
      </w:r>
      <w:r w:rsidR="00FE27DE" w:rsidRPr="009F7625">
        <w:rPr>
          <w:sz w:val="28"/>
          <w:szCs w:val="28"/>
        </w:rPr>
        <w:t xml:space="preserve">quốc </w:t>
      </w:r>
      <w:r w:rsidRPr="009F7625">
        <w:rPr>
          <w:sz w:val="28"/>
          <w:szCs w:val="28"/>
        </w:rPr>
        <w:t xml:space="preserve">gia </w:t>
      </w:r>
      <w:r w:rsidR="00FE27DE" w:rsidRPr="009F7625">
        <w:rPr>
          <w:sz w:val="28"/>
          <w:szCs w:val="28"/>
        </w:rPr>
        <w:t xml:space="preserve">thành </w:t>
      </w:r>
      <w:r w:rsidRPr="009F7625">
        <w:rPr>
          <w:sz w:val="28"/>
          <w:szCs w:val="28"/>
        </w:rPr>
        <w:t xml:space="preserve">viên khác bằng cách bãi bỏ nghĩa vụ phải có </w:t>
      </w:r>
      <w:r w:rsidR="00AE2A39" w:rsidRPr="009F7625">
        <w:rPr>
          <w:sz w:val="28"/>
          <w:szCs w:val="28"/>
        </w:rPr>
        <w:t>sự chấp thuận</w:t>
      </w:r>
      <w:r w:rsidRPr="009F7625">
        <w:rPr>
          <w:sz w:val="28"/>
          <w:szCs w:val="28"/>
        </w:rPr>
        <w:t xml:space="preserve"> của </w:t>
      </w:r>
      <w:r w:rsidR="00AE2A39" w:rsidRPr="009F7625">
        <w:rPr>
          <w:sz w:val="28"/>
          <w:szCs w:val="28"/>
        </w:rPr>
        <w:t>chủ sở hữu</w:t>
      </w:r>
      <w:r w:rsidRPr="009F7625">
        <w:rPr>
          <w:sz w:val="28"/>
          <w:szCs w:val="28"/>
        </w:rPr>
        <w:t xml:space="preserve"> giấy phép. </w:t>
      </w:r>
      <w:r w:rsidR="00AE2A39" w:rsidRPr="009F7625">
        <w:rPr>
          <w:sz w:val="28"/>
          <w:szCs w:val="28"/>
        </w:rPr>
        <w:t>Bên cạnh đó</w:t>
      </w:r>
      <w:r w:rsidRPr="009F7625">
        <w:rPr>
          <w:sz w:val="28"/>
          <w:szCs w:val="28"/>
        </w:rPr>
        <w:t xml:space="preserve">, </w:t>
      </w:r>
      <w:r w:rsidR="00AE2A39" w:rsidRPr="009F7625">
        <w:rPr>
          <w:sz w:val="28"/>
          <w:szCs w:val="28"/>
        </w:rPr>
        <w:t xml:space="preserve">cần giảm bớt </w:t>
      </w:r>
      <w:r w:rsidRPr="009F7625">
        <w:rPr>
          <w:sz w:val="28"/>
          <w:szCs w:val="28"/>
        </w:rPr>
        <w:t>gánh nặng hành chính</w:t>
      </w:r>
      <w:r w:rsidR="00AE2A39" w:rsidRPr="009F7625">
        <w:rPr>
          <w:sz w:val="28"/>
          <w:szCs w:val="28"/>
        </w:rPr>
        <w:t xml:space="preserve"> cho các đối tượng nộp hồ sơ nêu trên</w:t>
      </w:r>
      <w:r w:rsidRPr="009F7625">
        <w:rPr>
          <w:sz w:val="28"/>
          <w:szCs w:val="28"/>
        </w:rPr>
        <w:t xml:space="preserve">, cũng như </w:t>
      </w:r>
      <w:r w:rsidR="00AE2A39" w:rsidRPr="009F7625">
        <w:rPr>
          <w:sz w:val="28"/>
          <w:szCs w:val="28"/>
        </w:rPr>
        <w:t>các đối tượng nộp hồ sơ đề nghị</w:t>
      </w:r>
      <w:r w:rsidRPr="009F7625">
        <w:rPr>
          <w:sz w:val="28"/>
          <w:szCs w:val="28"/>
        </w:rPr>
        <w:t xml:space="preserve"> mở rộng</w:t>
      </w:r>
      <w:r w:rsidR="00AE2A39" w:rsidRPr="009F7625">
        <w:rPr>
          <w:sz w:val="28"/>
          <w:szCs w:val="28"/>
        </w:rPr>
        <w:t xml:space="preserve"> phạm vi</w:t>
      </w:r>
      <w:r w:rsidRPr="009F7625">
        <w:rPr>
          <w:sz w:val="28"/>
          <w:szCs w:val="28"/>
        </w:rPr>
        <w:t xml:space="preserve"> giấy phép cho các sản phẩm sử dụng cho mục đích phụ (minor uses),</w:t>
      </w:r>
      <w:r w:rsidR="00AE2A39" w:rsidRPr="009F7625">
        <w:rPr>
          <w:sz w:val="28"/>
          <w:szCs w:val="28"/>
        </w:rPr>
        <w:t xml:space="preserve"> thông qua việc loại bỏ yêu cầunộp kèm một số tài liệu có thể thu thập trực tiếp từ </w:t>
      </w:r>
      <w:r w:rsidR="00FE27DE" w:rsidRPr="009F7625">
        <w:rPr>
          <w:sz w:val="28"/>
          <w:szCs w:val="28"/>
        </w:rPr>
        <w:t xml:space="preserve">quốc </w:t>
      </w:r>
      <w:r w:rsidR="00AE2A39" w:rsidRPr="009F7625">
        <w:rPr>
          <w:sz w:val="28"/>
          <w:szCs w:val="28"/>
        </w:rPr>
        <w:t>gia thành viên tham chiếu đã cấp phép.</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22</w:t>
      </w:r>
      <w:r w:rsidR="00727C11" w:rsidRPr="009F7625">
        <w:rPr>
          <w:sz w:val="28"/>
          <w:szCs w:val="28"/>
        </w:rPr>
        <w:t>.</w:t>
      </w:r>
      <w:r w:rsidR="00191A96" w:rsidRPr="009F7625">
        <w:rPr>
          <w:sz w:val="28"/>
          <w:szCs w:val="28"/>
        </w:rPr>
        <w:t xml:space="preserve"> </w:t>
      </w:r>
      <w:r w:rsidR="00FC04A4" w:rsidRPr="009F7625">
        <w:rPr>
          <w:sz w:val="28"/>
          <w:szCs w:val="28"/>
        </w:rPr>
        <w:t>Sự khác biệt về quan</w:t>
      </w:r>
      <w:r w:rsidRPr="009F7625">
        <w:rPr>
          <w:sz w:val="28"/>
          <w:szCs w:val="28"/>
        </w:rPr>
        <w:t xml:space="preserve"> điểm giữa các </w:t>
      </w:r>
      <w:r w:rsidR="00FC04A4" w:rsidRPr="009F7625">
        <w:rPr>
          <w:sz w:val="28"/>
          <w:szCs w:val="28"/>
        </w:rPr>
        <w:t xml:space="preserve">quốc </w:t>
      </w:r>
      <w:r w:rsidRPr="009F7625">
        <w:rPr>
          <w:sz w:val="28"/>
          <w:szCs w:val="28"/>
        </w:rPr>
        <w:t xml:space="preserve">gia </w:t>
      </w:r>
      <w:r w:rsidR="00FC04A4" w:rsidRPr="009F7625">
        <w:rPr>
          <w:sz w:val="28"/>
          <w:szCs w:val="28"/>
        </w:rPr>
        <w:t xml:space="preserve">thành </w:t>
      </w:r>
      <w:r w:rsidRPr="009F7625">
        <w:rPr>
          <w:sz w:val="28"/>
          <w:szCs w:val="28"/>
        </w:rPr>
        <w:t>viên về việc gieo hạt giống đã qua xử lý có</w:t>
      </w:r>
      <w:r w:rsidR="00FC04A4" w:rsidRPr="009F7625">
        <w:rPr>
          <w:sz w:val="28"/>
          <w:szCs w:val="28"/>
        </w:rPr>
        <w:t xml:space="preserve"> được coi làmột hành vi sử dụng</w:t>
      </w:r>
      <w:r w:rsidRPr="009F7625">
        <w:rPr>
          <w:sz w:val="28"/>
          <w:szCs w:val="28"/>
        </w:rPr>
        <w:t xml:space="preserve"> sử dụng sản phẩm bảo vệ thực vật hay không đã </w:t>
      </w:r>
      <w:r w:rsidR="00FC04A4" w:rsidRPr="009F7625">
        <w:rPr>
          <w:sz w:val="28"/>
          <w:szCs w:val="28"/>
        </w:rPr>
        <w:t xml:space="preserve">gây </w:t>
      </w:r>
      <w:r w:rsidRPr="009F7625">
        <w:rPr>
          <w:sz w:val="28"/>
          <w:szCs w:val="28"/>
        </w:rPr>
        <w:t xml:space="preserve">ra sự nhầm lẫn giữa các nhà sản xuất hạt giống, nông dân và cơ quan có thẩm quyền. </w:t>
      </w:r>
      <w:r w:rsidR="00FC04A4" w:rsidRPr="009F7625">
        <w:rPr>
          <w:sz w:val="28"/>
          <w:szCs w:val="28"/>
        </w:rPr>
        <w:t>Bên cạnh đó</w:t>
      </w:r>
      <w:r w:rsidRPr="009F7625">
        <w:rPr>
          <w:sz w:val="28"/>
          <w:szCs w:val="28"/>
        </w:rPr>
        <w:t xml:space="preserve">, </w:t>
      </w:r>
      <w:r w:rsidR="00FC04A4" w:rsidRPr="009F7625">
        <w:rPr>
          <w:sz w:val="28"/>
          <w:szCs w:val="28"/>
        </w:rPr>
        <w:t xml:space="preserve">cũng tồn tại </w:t>
      </w:r>
      <w:r w:rsidRPr="009F7625">
        <w:rPr>
          <w:sz w:val="28"/>
          <w:szCs w:val="28"/>
        </w:rPr>
        <w:t xml:space="preserve">những cách hiểu khác nhau về việc liệu </w:t>
      </w:r>
      <w:r w:rsidR="00FC04A4" w:rsidRPr="009F7625">
        <w:rPr>
          <w:sz w:val="28"/>
          <w:szCs w:val="28"/>
        </w:rPr>
        <w:t xml:space="preserve">các </w:t>
      </w:r>
      <w:r w:rsidRPr="009F7625">
        <w:rPr>
          <w:sz w:val="28"/>
          <w:szCs w:val="28"/>
        </w:rPr>
        <w:t xml:space="preserve">quy định </w:t>
      </w:r>
      <w:r w:rsidR="00F055A6" w:rsidRPr="009F7625">
        <w:rPr>
          <w:sz w:val="28"/>
          <w:szCs w:val="28"/>
        </w:rPr>
        <w:t xml:space="preserve">đối với </w:t>
      </w:r>
      <w:r w:rsidRPr="009F7625">
        <w:rPr>
          <w:sz w:val="28"/>
          <w:szCs w:val="28"/>
        </w:rPr>
        <w:t xml:space="preserve">hạt giống đã qua xử lý có bao gồm các loại vật liệu nhân giống cây trồng khác như củ, thân </w:t>
      </w:r>
      <w:r w:rsidR="00F055A6" w:rsidRPr="009F7625">
        <w:rPr>
          <w:sz w:val="28"/>
          <w:szCs w:val="28"/>
        </w:rPr>
        <w:t>củ</w:t>
      </w:r>
      <w:r w:rsidRPr="009F7625">
        <w:rPr>
          <w:sz w:val="28"/>
          <w:szCs w:val="28"/>
        </w:rPr>
        <w:t>hay khoai tây giống hay không. Sự thiếu rõ ràng này tạo ra rào cản cho việc lưu thông tự do hạt giống và vật liệu nhân giống cây trồng</w:t>
      </w:r>
      <w:r w:rsidR="00F055A6" w:rsidRPr="009F7625">
        <w:rPr>
          <w:sz w:val="28"/>
          <w:szCs w:val="28"/>
        </w:rPr>
        <w:t xml:space="preserve"> đã qua xử lý; </w:t>
      </w:r>
      <w:r w:rsidRPr="009F7625">
        <w:rPr>
          <w:sz w:val="28"/>
          <w:szCs w:val="28"/>
        </w:rPr>
        <w:t xml:space="preserve">đồng thời tạo ra sự chênh lệch giữa các </w:t>
      </w:r>
      <w:r w:rsidR="00F055A6" w:rsidRPr="009F7625">
        <w:rPr>
          <w:sz w:val="28"/>
          <w:szCs w:val="28"/>
        </w:rPr>
        <w:t xml:space="preserve">quốc </w:t>
      </w:r>
      <w:r w:rsidRPr="009F7625">
        <w:rPr>
          <w:sz w:val="28"/>
          <w:szCs w:val="28"/>
        </w:rPr>
        <w:t xml:space="preserve">gia </w:t>
      </w:r>
      <w:r w:rsidR="00F055A6" w:rsidRPr="009F7625">
        <w:rPr>
          <w:sz w:val="28"/>
          <w:szCs w:val="28"/>
        </w:rPr>
        <w:t xml:space="preserve">thành </w:t>
      </w:r>
      <w:r w:rsidRPr="009F7625">
        <w:rPr>
          <w:sz w:val="28"/>
          <w:szCs w:val="28"/>
        </w:rPr>
        <w:t xml:space="preserve">viên liên quan đến việc nhập khẩu </w:t>
      </w:r>
      <w:r w:rsidR="00F055A6" w:rsidRPr="009F7625">
        <w:rPr>
          <w:sz w:val="28"/>
          <w:szCs w:val="28"/>
        </w:rPr>
        <w:t xml:space="preserve">và gieo </w:t>
      </w:r>
      <w:r w:rsidR="008B34C3" w:rsidRPr="009F7625">
        <w:rPr>
          <w:sz w:val="28"/>
          <w:szCs w:val="28"/>
        </w:rPr>
        <w:t xml:space="preserve">trồng </w:t>
      </w:r>
      <w:r w:rsidRPr="009F7625">
        <w:rPr>
          <w:sz w:val="28"/>
          <w:szCs w:val="28"/>
        </w:rPr>
        <w:t>hạt giống đã qua xử lý bằng các hoạt chất</w:t>
      </w:r>
      <w:r w:rsidR="00F055A6" w:rsidRPr="009F7625">
        <w:rPr>
          <w:sz w:val="28"/>
          <w:szCs w:val="28"/>
        </w:rPr>
        <w:t xml:space="preserve"> chưa được phê duyệt </w:t>
      </w:r>
      <w:r w:rsidRPr="009F7625">
        <w:rPr>
          <w:sz w:val="28"/>
          <w:szCs w:val="28"/>
        </w:rPr>
        <w:t xml:space="preserve">sử dụng trong Liên minh. Do đó, các quy định liên quan cần được làm rõ để tăng cường sự hài hòa giữa các </w:t>
      </w:r>
      <w:r w:rsidR="00F055A6" w:rsidRPr="009F7625">
        <w:rPr>
          <w:sz w:val="28"/>
          <w:szCs w:val="28"/>
        </w:rPr>
        <w:t xml:space="preserve">quốc </w:t>
      </w:r>
      <w:r w:rsidRPr="009F7625">
        <w:rPr>
          <w:sz w:val="28"/>
          <w:szCs w:val="28"/>
        </w:rPr>
        <w:t xml:space="preserve">gia </w:t>
      </w:r>
      <w:r w:rsidR="00F055A6" w:rsidRPr="009F7625">
        <w:rPr>
          <w:sz w:val="28"/>
          <w:szCs w:val="28"/>
        </w:rPr>
        <w:t xml:space="preserve">thành </w:t>
      </w:r>
      <w:r w:rsidRPr="009F7625">
        <w:rPr>
          <w:sz w:val="28"/>
          <w:szCs w:val="28"/>
        </w:rPr>
        <w:t>viên. Các biện pháp này sẽ không tạo thêm gánh nặng cho ngành xử lý hạt giống vì bản thân hạt giống đã qua xử lý vẫn không được coi là sản phẩm bảo vệ thực vật. Gánh nặng hành chính đối với nông dân</w:t>
      </w:r>
      <w:r w:rsidR="00F055A6" w:rsidRPr="009F7625">
        <w:rPr>
          <w:sz w:val="28"/>
          <w:szCs w:val="28"/>
        </w:rPr>
        <w:t xml:space="preserve"> cũng cần</w:t>
      </w:r>
      <w:r w:rsidRPr="009F7625">
        <w:rPr>
          <w:sz w:val="28"/>
          <w:szCs w:val="28"/>
        </w:rPr>
        <w:t xml:space="preserve"> được hạn chế</w:t>
      </w:r>
      <w:r w:rsidR="00F055A6" w:rsidRPr="009F7625">
        <w:rPr>
          <w:sz w:val="28"/>
          <w:szCs w:val="28"/>
        </w:rPr>
        <w:t xml:space="preserve">;theo đó </w:t>
      </w:r>
      <w:r w:rsidRPr="009F7625">
        <w:rPr>
          <w:sz w:val="28"/>
          <w:szCs w:val="28"/>
        </w:rPr>
        <w:t xml:space="preserve">cần </w:t>
      </w:r>
      <w:r w:rsidR="00F055A6" w:rsidRPr="009F7625">
        <w:rPr>
          <w:sz w:val="28"/>
          <w:szCs w:val="28"/>
        </w:rPr>
        <w:t>quy định một cơ chế ngoại lệ</w:t>
      </w:r>
      <w:r w:rsidRPr="009F7625">
        <w:rPr>
          <w:sz w:val="28"/>
          <w:szCs w:val="28"/>
        </w:rPr>
        <w:t xml:space="preserve"> cụ thể đối với máy móc sử dụng để gieo hạt giống đã qua xử lý</w:t>
      </w:r>
      <w:r w:rsidR="00F055A6" w:rsidRPr="009F7625">
        <w:rPr>
          <w:sz w:val="28"/>
          <w:szCs w:val="28"/>
        </w:rPr>
        <w:t xml:space="preserve"> sao cho các thiết bị này</w:t>
      </w:r>
      <w:r w:rsidRPr="009F7625">
        <w:rPr>
          <w:sz w:val="28"/>
          <w:szCs w:val="28"/>
        </w:rPr>
        <w:t xml:space="preserve"> không bị coi là thiết bị phun thuốc bảo vệ thực vật theo </w:t>
      </w:r>
      <w:r w:rsidR="00F055A6" w:rsidRPr="009F7625">
        <w:rPr>
          <w:sz w:val="28"/>
          <w:szCs w:val="28"/>
        </w:rPr>
        <w:t xml:space="preserve">tinh thần của </w:t>
      </w:r>
      <w:r w:rsidRPr="009F7625">
        <w:rPr>
          <w:sz w:val="28"/>
          <w:szCs w:val="28"/>
        </w:rPr>
        <w:t>Chỉ thị 2009/128/ECvề sử dụng</w:t>
      </w:r>
      <w:r w:rsidR="00F055A6" w:rsidRPr="009F7625">
        <w:rPr>
          <w:sz w:val="28"/>
          <w:szCs w:val="28"/>
        </w:rPr>
        <w:t xml:space="preserve"> bền vững</w:t>
      </w:r>
      <w:r w:rsidR="00191A96" w:rsidRPr="009F7625">
        <w:rPr>
          <w:sz w:val="28"/>
          <w:szCs w:val="28"/>
        </w:rPr>
        <w:t xml:space="preserve"> </w:t>
      </w:r>
      <w:r w:rsidR="00F055A6" w:rsidRPr="009F7625">
        <w:rPr>
          <w:sz w:val="28"/>
          <w:szCs w:val="28"/>
        </w:rPr>
        <w:t>thuốc bảo vệ thực vật</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23</w:t>
      </w:r>
      <w:r w:rsidR="00727C11" w:rsidRPr="009F7625">
        <w:rPr>
          <w:sz w:val="28"/>
          <w:szCs w:val="28"/>
        </w:rPr>
        <w:t>.</w:t>
      </w:r>
      <w:r w:rsidRPr="009F7625">
        <w:rPr>
          <w:sz w:val="28"/>
          <w:szCs w:val="28"/>
        </w:rPr>
        <w:t xml:space="preserve"> Một số điều kiện </w:t>
      </w:r>
      <w:r w:rsidR="00F055A6" w:rsidRPr="009F7625">
        <w:rPr>
          <w:sz w:val="28"/>
          <w:szCs w:val="28"/>
        </w:rPr>
        <w:t xml:space="preserve">để được </w:t>
      </w:r>
      <w:r w:rsidRPr="009F7625">
        <w:rPr>
          <w:sz w:val="28"/>
          <w:szCs w:val="28"/>
        </w:rPr>
        <w:t>cấp phép cho các sản phẩm bảo vệ thực vật sử dụng cho</w:t>
      </w:r>
      <w:r w:rsidR="00F055A6" w:rsidRPr="009F7625">
        <w:rPr>
          <w:sz w:val="28"/>
          <w:szCs w:val="28"/>
        </w:rPr>
        <w:t xml:space="preserve"> các</w:t>
      </w:r>
      <w:r w:rsidRPr="009F7625">
        <w:rPr>
          <w:sz w:val="28"/>
          <w:szCs w:val="28"/>
        </w:rPr>
        <w:t xml:space="preserve"> mục đích phụ </w:t>
      </w:r>
      <w:r w:rsidR="00F055A6" w:rsidRPr="009F7625">
        <w:rPr>
          <w:sz w:val="28"/>
          <w:szCs w:val="28"/>
        </w:rPr>
        <w:t xml:space="preserve">quy định </w:t>
      </w:r>
      <w:r w:rsidRPr="009F7625">
        <w:rPr>
          <w:sz w:val="28"/>
          <w:szCs w:val="28"/>
        </w:rPr>
        <w:t xml:space="preserve">tại Điều 51 của Quy định (EC) số 1107/2009 </w:t>
      </w:r>
      <w:r w:rsidR="00F055A6" w:rsidRPr="009F7625">
        <w:rPr>
          <w:sz w:val="28"/>
          <w:szCs w:val="28"/>
        </w:rPr>
        <w:t>đã bộc lộ tính</w:t>
      </w:r>
      <w:r w:rsidRPr="009F7625">
        <w:rPr>
          <w:sz w:val="28"/>
          <w:szCs w:val="28"/>
        </w:rPr>
        <w:t xml:space="preserve"> hạn chế và cần được loại bỏ </w:t>
      </w:r>
      <w:r w:rsidR="00F055A6" w:rsidRPr="009F7625">
        <w:rPr>
          <w:sz w:val="28"/>
          <w:szCs w:val="28"/>
        </w:rPr>
        <w:t xml:space="preserve">nhằm tăng cường khả năng </w:t>
      </w:r>
      <w:r w:rsidRPr="009F7625">
        <w:rPr>
          <w:sz w:val="28"/>
          <w:szCs w:val="28"/>
        </w:rPr>
        <w:t>cung cấp sản phẩm</w:t>
      </w:r>
      <w:r w:rsidR="00F055A6" w:rsidRPr="009F7625">
        <w:rPr>
          <w:sz w:val="28"/>
          <w:szCs w:val="28"/>
        </w:rPr>
        <w:t xml:space="preserve"> đa dạng</w:t>
      </w:r>
      <w:r w:rsidRPr="009F7625">
        <w:rPr>
          <w:sz w:val="28"/>
          <w:szCs w:val="28"/>
        </w:rPr>
        <w:t xml:space="preserve"> hơn cho nông dân. </w:t>
      </w:r>
      <w:r w:rsidR="00F055A6" w:rsidRPr="009F7625">
        <w:rPr>
          <w:sz w:val="28"/>
          <w:szCs w:val="28"/>
        </w:rPr>
        <w:t>Thêm vào đó,</w:t>
      </w:r>
      <w:r w:rsidRPr="009F7625">
        <w:rPr>
          <w:sz w:val="28"/>
          <w:szCs w:val="28"/>
        </w:rPr>
        <w:t xml:space="preserve"> việc thực thi Điều </w:t>
      </w:r>
      <w:r w:rsidR="00F055A6" w:rsidRPr="009F7625">
        <w:rPr>
          <w:sz w:val="28"/>
          <w:szCs w:val="28"/>
        </w:rPr>
        <w:t>khoản này có sự khác biệt</w:t>
      </w:r>
      <w:r w:rsidRPr="009F7625">
        <w:rPr>
          <w:sz w:val="28"/>
          <w:szCs w:val="28"/>
        </w:rPr>
        <w:t xml:space="preserve"> đáng kể giữa các </w:t>
      </w:r>
      <w:r w:rsidR="00F055A6" w:rsidRPr="009F7625">
        <w:rPr>
          <w:sz w:val="28"/>
          <w:szCs w:val="28"/>
        </w:rPr>
        <w:t xml:space="preserve">quốc </w:t>
      </w:r>
      <w:r w:rsidRPr="009F7625">
        <w:rPr>
          <w:sz w:val="28"/>
          <w:szCs w:val="28"/>
        </w:rPr>
        <w:t xml:space="preserve">gia </w:t>
      </w:r>
      <w:r w:rsidR="00F055A6" w:rsidRPr="009F7625">
        <w:rPr>
          <w:sz w:val="28"/>
          <w:szCs w:val="28"/>
        </w:rPr>
        <w:t xml:space="preserve">thành </w:t>
      </w:r>
      <w:r w:rsidRPr="009F7625">
        <w:rPr>
          <w:sz w:val="28"/>
          <w:szCs w:val="28"/>
        </w:rPr>
        <w:t xml:space="preserve">viên. </w:t>
      </w:r>
      <w:r w:rsidR="00F055A6" w:rsidRPr="009F7625">
        <w:rPr>
          <w:sz w:val="28"/>
          <w:szCs w:val="28"/>
        </w:rPr>
        <w:t>Do vậy</w:t>
      </w:r>
      <w:r w:rsidRPr="009F7625">
        <w:rPr>
          <w:sz w:val="28"/>
          <w:szCs w:val="28"/>
        </w:rPr>
        <w:t>,</w:t>
      </w:r>
      <w:r w:rsidR="00F055A6" w:rsidRPr="009F7625">
        <w:rPr>
          <w:sz w:val="28"/>
          <w:szCs w:val="28"/>
        </w:rPr>
        <w:t xml:space="preserve"> cần cải thiện t</w:t>
      </w:r>
      <w:r w:rsidRPr="009F7625">
        <w:rPr>
          <w:sz w:val="28"/>
          <w:szCs w:val="28"/>
        </w:rPr>
        <w:t xml:space="preserve">ính minh bạch và Ủy ban cần được trao quyền thông qua các </w:t>
      </w:r>
      <w:r w:rsidR="00F055A6" w:rsidRPr="009F7625">
        <w:rPr>
          <w:sz w:val="28"/>
          <w:szCs w:val="28"/>
        </w:rPr>
        <w:t xml:space="preserve">văn bản hướng dẫn thi hành </w:t>
      </w:r>
      <w:r w:rsidRPr="009F7625">
        <w:rPr>
          <w:sz w:val="28"/>
          <w:szCs w:val="28"/>
        </w:rPr>
        <w:t>(implementing acts)</w:t>
      </w:r>
      <w:r w:rsidR="00F055A6" w:rsidRPr="009F7625">
        <w:rPr>
          <w:sz w:val="28"/>
          <w:szCs w:val="28"/>
        </w:rPr>
        <w:t xml:space="preserve"> nhằm</w:t>
      </w:r>
      <w:r w:rsidRPr="009F7625">
        <w:rPr>
          <w:sz w:val="28"/>
          <w:szCs w:val="28"/>
        </w:rPr>
        <w:t xml:space="preserve"> hài hòa hóa các thủ tục cấp mở rộng giấy phép cho các mục đích sử dụng phụ và các</w:t>
      </w:r>
      <w:r w:rsidR="00F055A6" w:rsidRPr="009F7625">
        <w:rPr>
          <w:sz w:val="28"/>
          <w:szCs w:val="28"/>
        </w:rPr>
        <w:t xml:space="preserve"> thủ tục cấp phépthông qua</w:t>
      </w:r>
      <w:r w:rsidRPr="009F7625">
        <w:rPr>
          <w:sz w:val="28"/>
          <w:szCs w:val="28"/>
        </w:rPr>
        <w:t xml:space="preserve"> công nhận lẫn nhau</w:t>
      </w:r>
      <w:r w:rsidR="00F055A6" w:rsidRPr="009F7625">
        <w:rPr>
          <w:sz w:val="28"/>
          <w:szCs w:val="28"/>
        </w:rPr>
        <w:t>, hướng tớimục tiêu đạt được</w:t>
      </w:r>
      <w:r w:rsidRPr="009F7625">
        <w:rPr>
          <w:sz w:val="28"/>
          <w:szCs w:val="28"/>
        </w:rPr>
        <w:t xml:space="preserve"> sự sẵn có </w:t>
      </w:r>
      <w:r w:rsidR="00F055A6" w:rsidRPr="009F7625">
        <w:rPr>
          <w:sz w:val="28"/>
          <w:szCs w:val="28"/>
        </w:rPr>
        <w:t>đồng đều</w:t>
      </w:r>
      <w:r w:rsidRPr="009F7625">
        <w:rPr>
          <w:sz w:val="28"/>
          <w:szCs w:val="28"/>
        </w:rPr>
        <w:t xml:space="preserve"> hơn của các sản phẩm bảo vệ thực vật cho các mục đích sử dụng phụ.</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24</w:t>
      </w:r>
      <w:r w:rsidR="00727C11" w:rsidRPr="009F7625">
        <w:rPr>
          <w:sz w:val="28"/>
          <w:szCs w:val="28"/>
        </w:rPr>
        <w:t>.</w:t>
      </w:r>
      <w:r w:rsidR="00191A96" w:rsidRPr="009F7625">
        <w:rPr>
          <w:sz w:val="28"/>
          <w:szCs w:val="28"/>
        </w:rPr>
        <w:t xml:space="preserve"> </w:t>
      </w:r>
      <w:r w:rsidR="00D373A0" w:rsidRPr="009F7625">
        <w:rPr>
          <w:sz w:val="28"/>
          <w:szCs w:val="28"/>
        </w:rPr>
        <w:t>Thực tiễn</w:t>
      </w:r>
      <w:r w:rsidRPr="009F7625">
        <w:rPr>
          <w:sz w:val="28"/>
          <w:szCs w:val="28"/>
        </w:rPr>
        <w:t xml:space="preserve"> cho thấy các quy định </w:t>
      </w:r>
      <w:r w:rsidR="00D373A0" w:rsidRPr="009F7625">
        <w:rPr>
          <w:sz w:val="28"/>
          <w:szCs w:val="28"/>
        </w:rPr>
        <w:t xml:space="preserve">tại </w:t>
      </w:r>
      <w:r w:rsidRPr="009F7625">
        <w:rPr>
          <w:sz w:val="28"/>
          <w:szCs w:val="28"/>
        </w:rPr>
        <w:t xml:space="preserve">Quy định (EC) số 1107/2009 liên quan đến bảo </w:t>
      </w:r>
      <w:r w:rsidR="00D373A0" w:rsidRPr="009F7625">
        <w:rPr>
          <w:sz w:val="28"/>
          <w:szCs w:val="28"/>
        </w:rPr>
        <w:t xml:space="preserve">hộ </w:t>
      </w:r>
      <w:r w:rsidRPr="009F7625">
        <w:rPr>
          <w:sz w:val="28"/>
          <w:szCs w:val="28"/>
        </w:rPr>
        <w:t xml:space="preserve">dữ liệu </w:t>
      </w:r>
      <w:r w:rsidR="00D373A0" w:rsidRPr="009F7625">
        <w:rPr>
          <w:sz w:val="28"/>
          <w:szCs w:val="28"/>
        </w:rPr>
        <w:t xml:space="preserve">đối với </w:t>
      </w:r>
      <w:r w:rsidRPr="009F7625">
        <w:rPr>
          <w:sz w:val="28"/>
          <w:szCs w:val="28"/>
        </w:rPr>
        <w:t xml:space="preserve">các báo cáo thử nghiệm và nghiên cứu </w:t>
      </w:r>
      <w:r w:rsidR="00D373A0" w:rsidRPr="009F7625">
        <w:rPr>
          <w:sz w:val="28"/>
          <w:szCs w:val="28"/>
        </w:rPr>
        <w:t>(</w:t>
      </w:r>
      <w:r w:rsidRPr="009F7625">
        <w:rPr>
          <w:sz w:val="28"/>
          <w:szCs w:val="28"/>
        </w:rPr>
        <w:t xml:space="preserve">được nộp để </w:t>
      </w:r>
      <w:r w:rsidR="00D373A0" w:rsidRPr="009F7625">
        <w:rPr>
          <w:sz w:val="28"/>
          <w:szCs w:val="28"/>
        </w:rPr>
        <w:t xml:space="preserve">phục vụ việc </w:t>
      </w:r>
      <w:r w:rsidRPr="009F7625">
        <w:rPr>
          <w:sz w:val="28"/>
          <w:szCs w:val="28"/>
        </w:rPr>
        <w:t>cấp phép sản phẩm bảo vệ thực vật</w:t>
      </w:r>
      <w:r w:rsidR="00D373A0" w:rsidRPr="009F7625">
        <w:rPr>
          <w:sz w:val="28"/>
          <w:szCs w:val="28"/>
        </w:rPr>
        <w:t>)</w:t>
      </w:r>
      <w:r w:rsidR="00191A96" w:rsidRPr="009F7625">
        <w:rPr>
          <w:sz w:val="28"/>
          <w:szCs w:val="28"/>
        </w:rPr>
        <w:t xml:space="preserve"> </w:t>
      </w:r>
      <w:r w:rsidR="00D373A0" w:rsidRPr="009F7625">
        <w:rPr>
          <w:sz w:val="28"/>
          <w:szCs w:val="28"/>
        </w:rPr>
        <w:t xml:space="preserve">còn </w:t>
      </w:r>
      <w:r w:rsidRPr="009F7625">
        <w:rPr>
          <w:sz w:val="28"/>
          <w:szCs w:val="28"/>
        </w:rPr>
        <w:t>phức tạp</w:t>
      </w:r>
      <w:r w:rsidR="00D373A0" w:rsidRPr="009F7625">
        <w:rPr>
          <w:sz w:val="28"/>
          <w:szCs w:val="28"/>
        </w:rPr>
        <w:t>,</w:t>
      </w:r>
      <w:r w:rsidRPr="009F7625">
        <w:rPr>
          <w:sz w:val="28"/>
          <w:szCs w:val="28"/>
        </w:rPr>
        <w:t xml:space="preserve"> tạo ra rào cản gia nhập thị trường </w:t>
      </w:r>
      <w:r w:rsidR="00D373A0" w:rsidRPr="009F7625">
        <w:rPr>
          <w:sz w:val="28"/>
          <w:szCs w:val="28"/>
        </w:rPr>
        <w:t>cho</w:t>
      </w:r>
      <w:r w:rsidRPr="009F7625">
        <w:rPr>
          <w:sz w:val="28"/>
          <w:szCs w:val="28"/>
        </w:rPr>
        <w:t xml:space="preserve"> các nhà cung cấp </w:t>
      </w:r>
      <w:r w:rsidR="00D373A0" w:rsidRPr="009F7625">
        <w:rPr>
          <w:sz w:val="28"/>
          <w:szCs w:val="28"/>
        </w:rPr>
        <w:t>mới, đồng thời dẫn đến sự</w:t>
      </w:r>
      <w:r w:rsidRPr="009F7625">
        <w:rPr>
          <w:sz w:val="28"/>
          <w:szCs w:val="28"/>
        </w:rPr>
        <w:t xml:space="preserve"> phân </w:t>
      </w:r>
      <w:r w:rsidR="00D373A0" w:rsidRPr="009F7625">
        <w:rPr>
          <w:sz w:val="28"/>
          <w:szCs w:val="28"/>
        </w:rPr>
        <w:t xml:space="preserve">bố </w:t>
      </w:r>
      <w:r w:rsidRPr="009F7625">
        <w:rPr>
          <w:sz w:val="28"/>
          <w:szCs w:val="28"/>
        </w:rPr>
        <w:t xml:space="preserve">không </w:t>
      </w:r>
      <w:r w:rsidR="00D373A0" w:rsidRPr="009F7625">
        <w:rPr>
          <w:sz w:val="28"/>
          <w:szCs w:val="28"/>
        </w:rPr>
        <w:t>đồng đều</w:t>
      </w:r>
      <w:r w:rsidRPr="009F7625">
        <w:rPr>
          <w:sz w:val="28"/>
          <w:szCs w:val="28"/>
        </w:rPr>
        <w:t xml:space="preserve"> và</w:t>
      </w:r>
      <w:r w:rsidR="00D373A0" w:rsidRPr="009F7625">
        <w:rPr>
          <w:sz w:val="28"/>
          <w:szCs w:val="28"/>
        </w:rPr>
        <w:t xml:space="preserve"> sự khác biệt về</w:t>
      </w:r>
      <w:r w:rsidRPr="009F7625">
        <w:rPr>
          <w:sz w:val="28"/>
          <w:szCs w:val="28"/>
        </w:rPr>
        <w:t xml:space="preserve"> chi phí sản phẩm bảo vệ thực vật tùy thuộc vào quy mô của các </w:t>
      </w:r>
      <w:r w:rsidR="00D373A0" w:rsidRPr="009F7625">
        <w:rPr>
          <w:sz w:val="28"/>
          <w:szCs w:val="28"/>
        </w:rPr>
        <w:t xml:space="preserve">quốc </w:t>
      </w:r>
      <w:r w:rsidRPr="009F7625">
        <w:rPr>
          <w:sz w:val="28"/>
          <w:szCs w:val="28"/>
        </w:rPr>
        <w:t xml:space="preserve">gia </w:t>
      </w:r>
      <w:r w:rsidR="00D373A0" w:rsidRPr="009F7625">
        <w:rPr>
          <w:sz w:val="28"/>
          <w:szCs w:val="28"/>
        </w:rPr>
        <w:t xml:space="preserve">thành </w:t>
      </w:r>
      <w:r w:rsidRPr="009F7625">
        <w:rPr>
          <w:sz w:val="28"/>
          <w:szCs w:val="28"/>
        </w:rPr>
        <w:t xml:space="preserve">viên, </w:t>
      </w:r>
      <w:r w:rsidR="00D373A0" w:rsidRPr="009F7625">
        <w:rPr>
          <w:sz w:val="28"/>
          <w:szCs w:val="28"/>
        </w:rPr>
        <w:t xml:space="preserve">qua </w:t>
      </w:r>
      <w:r w:rsidRPr="009F7625">
        <w:rPr>
          <w:sz w:val="28"/>
          <w:szCs w:val="28"/>
        </w:rPr>
        <w:t xml:space="preserve">đó tạo ra sự cạnh tranh không </w:t>
      </w:r>
      <w:r w:rsidR="00D373A0" w:rsidRPr="009F7625">
        <w:rPr>
          <w:sz w:val="28"/>
          <w:szCs w:val="28"/>
        </w:rPr>
        <w:t>công bằng</w:t>
      </w:r>
      <w:r w:rsidRPr="009F7625">
        <w:rPr>
          <w:sz w:val="28"/>
          <w:szCs w:val="28"/>
        </w:rPr>
        <w:t xml:space="preserve"> giữa các nhà sản xuất sản ph</w:t>
      </w:r>
      <w:r w:rsidR="001B580E" w:rsidRPr="009F7625">
        <w:rPr>
          <w:sz w:val="28"/>
          <w:szCs w:val="28"/>
        </w:rPr>
        <w:t xml:space="preserve">ẩm bảo vệ thực vật </w:t>
      </w:r>
      <w:r w:rsidR="00D373A0" w:rsidRPr="009F7625">
        <w:rPr>
          <w:sz w:val="28"/>
          <w:szCs w:val="28"/>
        </w:rPr>
        <w:t xml:space="preserve">cũng như giữa các </w:t>
      </w:r>
      <w:r w:rsidR="001B580E" w:rsidRPr="009F7625">
        <w:rPr>
          <w:sz w:val="28"/>
          <w:szCs w:val="28"/>
        </w:rPr>
        <w:t>nông dân.</w:t>
      </w:r>
      <w:r w:rsidR="00D373A0" w:rsidRPr="009F7625">
        <w:rPr>
          <w:sz w:val="28"/>
          <w:szCs w:val="28"/>
        </w:rPr>
        <w:t>Ngoài ra</w:t>
      </w:r>
      <w:r w:rsidRPr="009F7625">
        <w:rPr>
          <w:sz w:val="28"/>
          <w:szCs w:val="28"/>
        </w:rPr>
        <w:t xml:space="preserve">, </w:t>
      </w:r>
      <w:r w:rsidR="00D373A0" w:rsidRPr="009F7625">
        <w:rPr>
          <w:sz w:val="28"/>
          <w:szCs w:val="28"/>
        </w:rPr>
        <w:t>cơ chế</w:t>
      </w:r>
      <w:r w:rsidRPr="009F7625">
        <w:rPr>
          <w:sz w:val="28"/>
          <w:szCs w:val="28"/>
        </w:rPr>
        <w:t xml:space="preserve"> bảo vệ dữ liệu</w:t>
      </w:r>
      <w:r w:rsidR="00D373A0" w:rsidRPr="009F7625">
        <w:rPr>
          <w:sz w:val="28"/>
          <w:szCs w:val="28"/>
        </w:rPr>
        <w:t xml:space="preserve"> hiện nay đang</w:t>
      </w:r>
      <w:r w:rsidRPr="009F7625">
        <w:rPr>
          <w:sz w:val="28"/>
          <w:szCs w:val="28"/>
        </w:rPr>
        <w:t xml:space="preserve"> thiếu</w:t>
      </w:r>
      <w:r w:rsidR="00D373A0" w:rsidRPr="009F7625">
        <w:rPr>
          <w:sz w:val="28"/>
          <w:szCs w:val="28"/>
        </w:rPr>
        <w:t xml:space="preserve"> tính</w:t>
      </w:r>
      <w:r w:rsidRPr="009F7625">
        <w:rPr>
          <w:sz w:val="28"/>
          <w:szCs w:val="28"/>
        </w:rPr>
        <w:t xml:space="preserve"> minh bạch về thời </w:t>
      </w:r>
      <w:r w:rsidRPr="009F7625">
        <w:rPr>
          <w:sz w:val="28"/>
          <w:szCs w:val="28"/>
        </w:rPr>
        <w:lastRenderedPageBreak/>
        <w:t>điểm</w:t>
      </w:r>
      <w:r w:rsidR="00D373A0" w:rsidRPr="009F7625">
        <w:rPr>
          <w:sz w:val="28"/>
          <w:szCs w:val="28"/>
        </w:rPr>
        <w:t xml:space="preserve"> hết hạn bảo hộ đối với</w:t>
      </w:r>
      <w:r w:rsidRPr="009F7625">
        <w:rPr>
          <w:sz w:val="28"/>
          <w:szCs w:val="28"/>
        </w:rPr>
        <w:t xml:space="preserve"> một báo cáo thử nghiệm hoặc nghiên cứu </w:t>
      </w:r>
      <w:r w:rsidR="00D373A0" w:rsidRPr="009F7625">
        <w:rPr>
          <w:sz w:val="28"/>
          <w:szCs w:val="28"/>
        </w:rPr>
        <w:t>cụ thể tại</w:t>
      </w:r>
      <w:r w:rsidRPr="009F7625">
        <w:rPr>
          <w:sz w:val="28"/>
          <w:szCs w:val="28"/>
        </w:rPr>
        <w:t xml:space="preserve"> các </w:t>
      </w:r>
      <w:r w:rsidR="00FE27DE" w:rsidRPr="009F7625">
        <w:rPr>
          <w:sz w:val="28"/>
          <w:szCs w:val="28"/>
        </w:rPr>
        <w:t xml:space="preserve">quốc </w:t>
      </w:r>
      <w:r w:rsidRPr="009F7625">
        <w:rPr>
          <w:sz w:val="28"/>
          <w:szCs w:val="28"/>
        </w:rPr>
        <w:t xml:space="preserve">gia </w:t>
      </w:r>
      <w:r w:rsidR="00FE27DE" w:rsidRPr="009F7625">
        <w:rPr>
          <w:sz w:val="28"/>
          <w:szCs w:val="28"/>
        </w:rPr>
        <w:t xml:space="preserve">thành </w:t>
      </w:r>
      <w:r w:rsidRPr="009F7625">
        <w:rPr>
          <w:sz w:val="28"/>
          <w:szCs w:val="28"/>
        </w:rPr>
        <w:t xml:space="preserve">viên khác nhau, đặc biệt đối với các nghiên cứu hoặc thử nghiệm được sử dụng để gia hạn phê duyệt hoặc mở rộng giấy phép cho các mục đích sử dụng phụ. Do đó, các quy định liên quan cần được sửa đổi </w:t>
      </w:r>
      <w:r w:rsidR="00D373A0" w:rsidRPr="009F7625">
        <w:rPr>
          <w:sz w:val="28"/>
          <w:szCs w:val="28"/>
        </w:rPr>
        <w:t>để quy định</w:t>
      </w:r>
      <w:r w:rsidRPr="009F7625">
        <w:rPr>
          <w:sz w:val="28"/>
          <w:szCs w:val="28"/>
        </w:rPr>
        <w:t xml:space="preserve"> cùng một thời </w:t>
      </w:r>
      <w:r w:rsidR="00D373A0" w:rsidRPr="009F7625">
        <w:rPr>
          <w:sz w:val="28"/>
          <w:szCs w:val="28"/>
        </w:rPr>
        <w:t xml:space="preserve">hạn </w:t>
      </w:r>
      <w:r w:rsidRPr="009F7625">
        <w:rPr>
          <w:sz w:val="28"/>
          <w:szCs w:val="28"/>
        </w:rPr>
        <w:t xml:space="preserve">bảo </w:t>
      </w:r>
      <w:r w:rsidR="00D373A0" w:rsidRPr="009F7625">
        <w:rPr>
          <w:sz w:val="28"/>
          <w:szCs w:val="28"/>
        </w:rPr>
        <w:t xml:space="preserve">hộ </w:t>
      </w:r>
      <w:r w:rsidRPr="009F7625">
        <w:rPr>
          <w:sz w:val="28"/>
          <w:szCs w:val="28"/>
        </w:rPr>
        <w:t xml:space="preserve">dữ liệu cho một nghiên cứu hoặc thử nghiệm nhất định trên toàn Liên minh nhằm tăng tính minh bạch và tạo </w:t>
      </w:r>
      <w:r w:rsidR="00D373A0" w:rsidRPr="009F7625">
        <w:rPr>
          <w:sz w:val="28"/>
          <w:szCs w:val="28"/>
        </w:rPr>
        <w:t>điều kiện thuận lợi cho các nhà cung cấp thay thế gia nhập thị trường, từ đó tăng cường mức độ sẵn có các sản phẩm bảo vệ thực vật với mức chi phí tương đương</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25</w:t>
      </w:r>
      <w:r w:rsidR="00727C11" w:rsidRPr="009F7625">
        <w:rPr>
          <w:sz w:val="28"/>
          <w:szCs w:val="28"/>
        </w:rPr>
        <w:t>.</w:t>
      </w:r>
      <w:r w:rsidR="00191A96" w:rsidRPr="009F7625">
        <w:rPr>
          <w:sz w:val="28"/>
          <w:szCs w:val="28"/>
        </w:rPr>
        <w:t xml:space="preserve"> </w:t>
      </w:r>
      <w:r w:rsidR="00464D3A" w:rsidRPr="009F7625">
        <w:rPr>
          <w:sz w:val="28"/>
          <w:szCs w:val="28"/>
        </w:rPr>
        <w:t>Nghĩa vụ của các quốc gia thành viên theo Điều 68 về việc gửi báo cáo cho Ủy ban liên quan đến các hoạt động kiểm soát chính thức nhằm bảo đảm việc thực thi Quy định (EC) số 1107/2009 đã được thay thế bằng nghĩa vụ gửi báo cáo hằng năm theo khoản 1 Điều 113 của Quy định (EU) 2017/625. Do đó, Điều 68 cần được bãi bỏ nhằm tránh gây nhầm lẫn và giảm gánh nặng hành chính không cần thiết cho các quốc gia thành viên</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26</w:t>
      </w:r>
      <w:r w:rsidR="00727C11" w:rsidRPr="009F7625">
        <w:rPr>
          <w:sz w:val="28"/>
          <w:szCs w:val="28"/>
        </w:rPr>
        <w:t>.</w:t>
      </w:r>
      <w:r w:rsidR="00191A96" w:rsidRPr="009F7625">
        <w:rPr>
          <w:sz w:val="28"/>
          <w:szCs w:val="28"/>
        </w:rPr>
        <w:t xml:space="preserve"> </w:t>
      </w:r>
      <w:r w:rsidR="00B242A6" w:rsidRPr="009F7625">
        <w:rPr>
          <w:sz w:val="28"/>
          <w:szCs w:val="28"/>
        </w:rPr>
        <w:t>Cần có các quy định chuyển tiế</w:t>
      </w:r>
      <w:r w:rsidR="00176856" w:rsidRPr="009F7625">
        <w:rPr>
          <w:sz w:val="28"/>
          <w:szCs w:val="28"/>
        </w:rPr>
        <w:t>p</w:t>
      </w:r>
      <w:r w:rsidR="00B242A6" w:rsidRPr="009F7625">
        <w:rPr>
          <w:sz w:val="28"/>
          <w:szCs w:val="28"/>
        </w:rPr>
        <w:t xml:space="preserve"> nhằm</w:t>
      </w:r>
      <w:r w:rsidRPr="009F7625">
        <w:rPr>
          <w:sz w:val="28"/>
          <w:szCs w:val="28"/>
        </w:rPr>
        <w:t xml:space="preserve"> đảm bảo quá trình chuyển đổi suôn sẻ cho các thủ tục phê duyệt và gia hạn </w:t>
      </w:r>
      <w:r w:rsidR="00176856" w:rsidRPr="009F7625">
        <w:rPr>
          <w:sz w:val="28"/>
          <w:szCs w:val="28"/>
        </w:rPr>
        <w:t xml:space="preserve">phê duyệt </w:t>
      </w:r>
      <w:r w:rsidRPr="009F7625">
        <w:rPr>
          <w:sz w:val="28"/>
          <w:szCs w:val="28"/>
        </w:rPr>
        <w:t xml:space="preserve">đang chờ xử lý đối với các hoạt chất được sử dụng trong sản phẩm bảo vệ thực vật, </w:t>
      </w:r>
      <w:r w:rsidR="00B242A6" w:rsidRPr="009F7625">
        <w:rPr>
          <w:sz w:val="28"/>
          <w:szCs w:val="28"/>
        </w:rPr>
        <w:t>theo đó các thủ tục này được hoàn tất theo các quy định hiện hành nhưng thời hạn phê duyệt được áp dụng theo các quy định mới</w:t>
      </w:r>
      <w:r w:rsidRPr="009F7625">
        <w:rPr>
          <w:sz w:val="28"/>
          <w:szCs w:val="28"/>
        </w:rPr>
        <w:t>.</w:t>
      </w:r>
      <w:r w:rsidR="00B242A6" w:rsidRPr="009F7625">
        <w:rPr>
          <w:sz w:val="28"/>
          <w:szCs w:val="28"/>
        </w:rPr>
        <w:t xml:space="preserve"> Đồng thời, c</w:t>
      </w:r>
      <w:r w:rsidRPr="009F7625">
        <w:rPr>
          <w:sz w:val="28"/>
          <w:szCs w:val="28"/>
        </w:rPr>
        <w:t xml:space="preserve">ũng cần có quy định chuyển tiếp </w:t>
      </w:r>
      <w:r w:rsidR="00B242A6" w:rsidRPr="009F7625">
        <w:rPr>
          <w:sz w:val="28"/>
          <w:szCs w:val="28"/>
        </w:rPr>
        <w:t xml:space="preserve">nhằm </w:t>
      </w:r>
      <w:r w:rsidRPr="009F7625">
        <w:rPr>
          <w:sz w:val="28"/>
          <w:szCs w:val="28"/>
        </w:rPr>
        <w:t>đảm bảo rằng</w:t>
      </w:r>
      <w:r w:rsidR="00B242A6" w:rsidRPr="009F7625">
        <w:rPr>
          <w:sz w:val="28"/>
          <w:szCs w:val="28"/>
        </w:rPr>
        <w:t xml:space="preserve"> một</w:t>
      </w:r>
      <w:r w:rsidRPr="009F7625">
        <w:rPr>
          <w:sz w:val="28"/>
          <w:szCs w:val="28"/>
        </w:rPr>
        <w:t xml:space="preserve"> báo cáo thử nghiệm hoặc nghiên cứu</w:t>
      </w:r>
      <w:r w:rsidR="00760165" w:rsidRPr="009F7625">
        <w:rPr>
          <w:sz w:val="28"/>
          <w:szCs w:val="28"/>
        </w:rPr>
        <w:t xml:space="preserve"> mà thời hạn bảo hộ dữ liệu đã</w:t>
      </w:r>
      <w:r w:rsidRPr="009F7625">
        <w:rPr>
          <w:sz w:val="28"/>
          <w:szCs w:val="28"/>
        </w:rPr>
        <w:t xml:space="preserve"> bắt đầu theo các quy </w:t>
      </w:r>
      <w:r w:rsidR="00760165" w:rsidRPr="009F7625">
        <w:rPr>
          <w:sz w:val="28"/>
          <w:szCs w:val="28"/>
        </w:rPr>
        <w:t xml:space="preserve">định </w:t>
      </w:r>
      <w:r w:rsidRPr="009F7625">
        <w:rPr>
          <w:sz w:val="28"/>
          <w:szCs w:val="28"/>
        </w:rPr>
        <w:t>cũ</w:t>
      </w:r>
      <w:r w:rsidR="00E4148D" w:rsidRPr="009F7625">
        <w:rPr>
          <w:sz w:val="28"/>
          <w:szCs w:val="28"/>
        </w:rPr>
        <w:t xml:space="preserve"> sẽ</w:t>
      </w:r>
      <w:r w:rsidRPr="009F7625">
        <w:rPr>
          <w:sz w:val="28"/>
          <w:szCs w:val="28"/>
        </w:rPr>
        <w:t xml:space="preserve"> không</w:t>
      </w:r>
      <w:r w:rsidR="00E4148D" w:rsidRPr="009F7625">
        <w:rPr>
          <w:sz w:val="28"/>
          <w:szCs w:val="28"/>
        </w:rPr>
        <w:t xml:space="preserve"> được hưởng cơ chế bảo hộ dữ liệu hai lần trong cùng</w:t>
      </w:r>
      <w:r w:rsidRPr="009F7625">
        <w:rPr>
          <w:sz w:val="28"/>
          <w:szCs w:val="28"/>
        </w:rPr>
        <w:t xml:space="preserve"> một </w:t>
      </w:r>
      <w:r w:rsidR="00E4148D" w:rsidRPr="009F7625">
        <w:rPr>
          <w:sz w:val="28"/>
          <w:szCs w:val="28"/>
        </w:rPr>
        <w:t xml:space="preserve">quốc </w:t>
      </w:r>
      <w:r w:rsidRPr="009F7625">
        <w:rPr>
          <w:sz w:val="28"/>
          <w:szCs w:val="28"/>
        </w:rPr>
        <w:t xml:space="preserve">gia </w:t>
      </w:r>
      <w:r w:rsidR="00E4148D" w:rsidRPr="009F7625">
        <w:rPr>
          <w:sz w:val="28"/>
          <w:szCs w:val="28"/>
        </w:rPr>
        <w:t xml:space="preserve">thành </w:t>
      </w:r>
      <w:r w:rsidRPr="009F7625">
        <w:rPr>
          <w:sz w:val="28"/>
          <w:szCs w:val="28"/>
        </w:rPr>
        <w:t xml:space="preserve">viên theo các quy </w:t>
      </w:r>
      <w:r w:rsidR="00E4148D" w:rsidRPr="009F7625">
        <w:rPr>
          <w:sz w:val="28"/>
          <w:szCs w:val="28"/>
        </w:rPr>
        <w:t xml:space="preserve">định </w:t>
      </w:r>
      <w:r w:rsidRPr="009F7625">
        <w:rPr>
          <w:sz w:val="28"/>
          <w:szCs w:val="28"/>
        </w:rPr>
        <w:t xml:space="preserve">mới </w:t>
      </w:r>
      <w:r w:rsidR="00E4148D" w:rsidRPr="009F7625">
        <w:rPr>
          <w:sz w:val="28"/>
          <w:szCs w:val="28"/>
        </w:rPr>
        <w:t xml:space="preserve">áp dụng </w:t>
      </w:r>
      <w:r w:rsidRPr="009F7625">
        <w:rPr>
          <w:sz w:val="28"/>
          <w:szCs w:val="28"/>
        </w:rPr>
        <w:t xml:space="preserve">trên toàn </w:t>
      </w:r>
      <w:r w:rsidR="00E4148D" w:rsidRPr="009F7625">
        <w:rPr>
          <w:sz w:val="28"/>
          <w:szCs w:val="28"/>
        </w:rPr>
        <w:t>Liên minh</w:t>
      </w:r>
      <w:r w:rsidRPr="009F7625">
        <w:rPr>
          <w:sz w:val="28"/>
          <w:szCs w:val="28"/>
        </w:rPr>
        <w:t xml:space="preserve">. </w:t>
      </w:r>
      <w:r w:rsidR="00E4148D" w:rsidRPr="009F7625">
        <w:rPr>
          <w:sz w:val="28"/>
          <w:szCs w:val="28"/>
        </w:rPr>
        <w:t xml:space="preserve">Bên cạnh đó, </w:t>
      </w:r>
      <w:r w:rsidRPr="009F7625">
        <w:rPr>
          <w:sz w:val="28"/>
          <w:szCs w:val="28"/>
        </w:rPr>
        <w:t xml:space="preserve">cần làm rõ </w:t>
      </w:r>
      <w:r w:rsidR="00E4148D" w:rsidRPr="009F7625">
        <w:rPr>
          <w:sz w:val="28"/>
          <w:szCs w:val="28"/>
        </w:rPr>
        <w:t>r</w:t>
      </w:r>
      <w:r w:rsidRPr="009F7625">
        <w:rPr>
          <w:sz w:val="28"/>
          <w:szCs w:val="28"/>
        </w:rPr>
        <w:t>ằng tất cả các chất cơ bản được phê duyệt tại thời điểm Quy định này có hiệu lực đều có thể được đưa ra thị trường, không phụ thuộc vào việc chúng</w:t>
      </w:r>
      <w:r w:rsidR="00191A96" w:rsidRPr="009F7625">
        <w:rPr>
          <w:sz w:val="28"/>
          <w:szCs w:val="28"/>
        </w:rPr>
        <w:t xml:space="preserve"> </w:t>
      </w:r>
      <w:r w:rsidR="00176856" w:rsidRPr="009F7625">
        <w:rPr>
          <w:sz w:val="28"/>
          <w:szCs w:val="28"/>
        </w:rPr>
        <w:t>có được phê duyệt với tư cách hoạt chất thông thường hay không</w:t>
      </w:r>
      <w:r w:rsidRPr="009F7625">
        <w:rPr>
          <w:sz w:val="28"/>
          <w:szCs w:val="28"/>
        </w:rPr>
        <w:t xml:space="preserve">, nhằm đảm bảo đối xử bình đẳng và cạnh tranh công bằng </w:t>
      </w:r>
      <w:r w:rsidR="00E4148D" w:rsidRPr="009F7625">
        <w:rPr>
          <w:sz w:val="28"/>
          <w:szCs w:val="28"/>
        </w:rPr>
        <w:t xml:space="preserve">đối với </w:t>
      </w:r>
      <w:r w:rsidRPr="009F7625">
        <w:rPr>
          <w:sz w:val="28"/>
          <w:szCs w:val="28"/>
        </w:rPr>
        <w:t>tất cả các chất cơ bản</w:t>
      </w:r>
      <w:r w:rsidR="00E4148D" w:rsidRPr="009F7625">
        <w:rPr>
          <w:sz w:val="28"/>
          <w:szCs w:val="28"/>
        </w:rPr>
        <w:t xml:space="preserve"> cũng như đối với</w:t>
      </w:r>
      <w:r w:rsidRPr="009F7625">
        <w:rPr>
          <w:sz w:val="28"/>
          <w:szCs w:val="28"/>
        </w:rPr>
        <w:t xml:space="preserve"> tất cả nông dân, không phụ thuộc vào </w:t>
      </w:r>
      <w:r w:rsidR="00E4148D" w:rsidRPr="009F7625">
        <w:rPr>
          <w:sz w:val="28"/>
          <w:szCs w:val="28"/>
        </w:rPr>
        <w:t xml:space="preserve">quốc </w:t>
      </w:r>
      <w:r w:rsidRPr="009F7625">
        <w:rPr>
          <w:sz w:val="28"/>
          <w:szCs w:val="28"/>
        </w:rPr>
        <w:t xml:space="preserve">gia </w:t>
      </w:r>
      <w:r w:rsidR="00E4148D" w:rsidRPr="009F7625">
        <w:rPr>
          <w:sz w:val="28"/>
          <w:szCs w:val="28"/>
        </w:rPr>
        <w:t xml:space="preserve">thành </w:t>
      </w:r>
      <w:r w:rsidRPr="009F7625">
        <w:rPr>
          <w:sz w:val="28"/>
          <w:szCs w:val="28"/>
        </w:rPr>
        <w:t>viên nơi họ hoạt động.</w:t>
      </w:r>
    </w:p>
    <w:p w:rsidR="003C1BEA" w:rsidRPr="009F7625" w:rsidRDefault="001B580E"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27</w:t>
      </w:r>
      <w:r w:rsidR="00727C11" w:rsidRPr="009F7625">
        <w:rPr>
          <w:sz w:val="28"/>
          <w:szCs w:val="28"/>
        </w:rPr>
        <w:t>.</w:t>
      </w:r>
      <w:r w:rsidRPr="009F7625">
        <w:rPr>
          <w:sz w:val="28"/>
          <w:szCs w:val="28"/>
        </w:rPr>
        <w:t xml:space="preserve"> Quy định (EC) số 396/200</w:t>
      </w:r>
      <w:r w:rsidR="00FA6A56" w:rsidRPr="009F7625">
        <w:rPr>
          <w:sz w:val="28"/>
          <w:szCs w:val="28"/>
        </w:rPr>
        <w:t>5</w:t>
      </w:r>
      <w:r w:rsidR="003C1BEA" w:rsidRPr="009F7625">
        <w:rPr>
          <w:sz w:val="28"/>
          <w:szCs w:val="28"/>
        </w:rPr>
        <w:t> quy định</w:t>
      </w:r>
      <w:r w:rsidR="00F633D5" w:rsidRPr="009F7625">
        <w:rPr>
          <w:sz w:val="28"/>
          <w:szCs w:val="28"/>
        </w:rPr>
        <w:t xml:space="preserve"> về quy trình</w:t>
      </w:r>
      <w:r w:rsidR="003C1BEA" w:rsidRPr="009F7625">
        <w:rPr>
          <w:sz w:val="28"/>
          <w:szCs w:val="28"/>
        </w:rPr>
        <w:t xml:space="preserve"> xác định mức dư lượng tối đa (MRL) của thuốc trừ sâu trong hoặc trên thực phẩm và thức ăn chăn nuôi có nguồn gốc thực vật và động vật. </w:t>
      </w:r>
      <w:r w:rsidR="00F633D5" w:rsidRPr="009F7625">
        <w:rPr>
          <w:sz w:val="28"/>
          <w:szCs w:val="28"/>
        </w:rPr>
        <w:t>Theo “</w:t>
      </w:r>
      <w:r w:rsidR="003C1BEA" w:rsidRPr="009F7625">
        <w:rPr>
          <w:sz w:val="28"/>
          <w:szCs w:val="28"/>
        </w:rPr>
        <w:t xml:space="preserve">Tầm nhìn </w:t>
      </w:r>
      <w:r w:rsidR="00F633D5" w:rsidRPr="009F7625">
        <w:rPr>
          <w:sz w:val="28"/>
          <w:szCs w:val="28"/>
        </w:rPr>
        <w:t xml:space="preserve">về </w:t>
      </w:r>
      <w:r w:rsidR="003C1BEA" w:rsidRPr="009F7625">
        <w:rPr>
          <w:sz w:val="28"/>
          <w:szCs w:val="28"/>
        </w:rPr>
        <w:t>Nông nghiệp và Thực phẩm</w:t>
      </w:r>
      <w:r w:rsidR="00F633D5" w:rsidRPr="009F7625">
        <w:rPr>
          <w:sz w:val="28"/>
          <w:szCs w:val="28"/>
        </w:rPr>
        <w:t>”</w:t>
      </w:r>
      <w:r w:rsidR="003C1BEA" w:rsidRPr="009F7625">
        <w:rPr>
          <w:sz w:val="28"/>
          <w:szCs w:val="28"/>
        </w:rPr>
        <w:t>, Ủy ban đã thông báo sẽ theo đuổi sự liên kết chặt chẽ hơn giữa các tiêu chuẩn sản xuất áp dụng cho sản phẩm nhập khẩu, đặc biệt là về thuốc trừ sâu</w:t>
      </w:r>
      <w:r w:rsidR="00F633D5" w:rsidRPr="009F7625">
        <w:rPr>
          <w:sz w:val="28"/>
          <w:szCs w:val="28"/>
        </w:rPr>
        <w:t>; đồng thời</w:t>
      </w:r>
      <w:r w:rsidR="003C1BEA" w:rsidRPr="009F7625">
        <w:rPr>
          <w:sz w:val="28"/>
          <w:szCs w:val="28"/>
        </w:rPr>
        <w:t xml:space="preserve"> thiết lập nguyên tắc</w:t>
      </w:r>
      <w:r w:rsidR="00D77368" w:rsidRPr="009F7625">
        <w:rPr>
          <w:sz w:val="28"/>
          <w:szCs w:val="28"/>
        </w:rPr>
        <w:t xml:space="preserve"> trên cơ sở </w:t>
      </w:r>
      <w:r w:rsidR="003C1BEA" w:rsidRPr="009F7625">
        <w:rPr>
          <w:sz w:val="28"/>
          <w:szCs w:val="28"/>
        </w:rPr>
        <w:t xml:space="preserve">tuân thủ các nghĩa vụ quốc tế của </w:t>
      </w:r>
      <w:r w:rsidR="00221012" w:rsidRPr="009F7625">
        <w:rPr>
          <w:sz w:val="28"/>
          <w:szCs w:val="28"/>
        </w:rPr>
        <w:t>Liên minh</w:t>
      </w:r>
      <w:r w:rsidR="003C1BEA" w:rsidRPr="009F7625">
        <w:rPr>
          <w:sz w:val="28"/>
          <w:szCs w:val="28"/>
        </w:rPr>
        <w:t xml:space="preserve">rằng các loại thuốc trừ sâu nguy </w:t>
      </w:r>
      <w:r w:rsidR="00D77368" w:rsidRPr="009F7625">
        <w:rPr>
          <w:sz w:val="28"/>
          <w:szCs w:val="28"/>
        </w:rPr>
        <w:t xml:space="preserve">hại </w:t>
      </w:r>
      <w:r w:rsidR="003C1BEA" w:rsidRPr="009F7625">
        <w:rPr>
          <w:sz w:val="28"/>
          <w:szCs w:val="28"/>
        </w:rPr>
        <w:t xml:space="preserve">nhất bị cấm ở </w:t>
      </w:r>
      <w:r w:rsidR="00FA6A56" w:rsidRPr="009F7625">
        <w:rPr>
          <w:sz w:val="28"/>
          <w:szCs w:val="28"/>
        </w:rPr>
        <w:t>Liên minh</w:t>
      </w:r>
      <w:r w:rsidR="003C1BEA" w:rsidRPr="009F7625">
        <w:rPr>
          <w:sz w:val="28"/>
          <w:szCs w:val="28"/>
        </w:rPr>
        <w:t xml:space="preserve">vì lý do sức khỏe và môi trường không được phép quay trở lại </w:t>
      </w:r>
      <w:r w:rsidR="00D77368" w:rsidRPr="009F7625">
        <w:rPr>
          <w:sz w:val="28"/>
          <w:szCs w:val="28"/>
        </w:rPr>
        <w:t xml:space="preserve">Châu Âu </w:t>
      </w:r>
      <w:r w:rsidR="003C1BEA" w:rsidRPr="009F7625">
        <w:rPr>
          <w:sz w:val="28"/>
          <w:szCs w:val="28"/>
        </w:rPr>
        <w:t xml:space="preserve">thông qua các sản phẩm nhập khẩu. </w:t>
      </w:r>
      <w:r w:rsidR="00FA6A56" w:rsidRPr="009F7625">
        <w:rPr>
          <w:sz w:val="28"/>
          <w:szCs w:val="28"/>
        </w:rPr>
        <w:t xml:space="preserve">Để thúc đẩy mục tiêu này, vào tháng 11 năm 2025, Ủy ban đã khởi động một nghiên cứu nhằm chuẩn bị cho việc đánh giá tác động, trong đó xem xét các tác động đối với vị thế cạnh tranh của Liên minh và các hệ quả quốc tế, từ đó, nếu phù hợp, đề xuất sửa đổi khuôn khổ pháp lý. Trong thời gian chờ đợi, Quy định (EC) số 396/2005 cần được sửa đổi để quy định rằng đối với các chất không được phê duyệt trong Liên minh và có một số đặc tính đặc biệt nguy hại, không được thiết lập MRL dựa trên thực hành nông nghiệp tốt (GAP) tại các </w:t>
      </w:r>
      <w:r w:rsidR="00FA6A56" w:rsidRPr="009F7625">
        <w:rPr>
          <w:sz w:val="28"/>
          <w:szCs w:val="28"/>
        </w:rPr>
        <w:lastRenderedPageBreak/>
        <w:t>nước thứ ba hoặc dựa trên các mức tối đa của Codex (CXL); thay vào đó, MRL phải được đặt ở mức giới hạn định lượng (technical zero).</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28</w:t>
      </w:r>
      <w:r w:rsidR="00727C11" w:rsidRPr="009F7625">
        <w:rPr>
          <w:sz w:val="28"/>
          <w:szCs w:val="28"/>
        </w:rPr>
        <w:t>.</w:t>
      </w:r>
      <w:r w:rsidR="00191A96" w:rsidRPr="009F7625">
        <w:rPr>
          <w:sz w:val="28"/>
          <w:szCs w:val="28"/>
        </w:rPr>
        <w:t xml:space="preserve"> </w:t>
      </w:r>
      <w:r w:rsidR="00251530" w:rsidRPr="009F7625">
        <w:rPr>
          <w:sz w:val="28"/>
          <w:szCs w:val="28"/>
        </w:rPr>
        <w:t>Quy định nêu trên áp dụng đối với các chất có đặc tính gây đột biến, gây ung thư hoặc độc tính sinh sản, cũng như các chất gây rối loạn nội tiết có thể gây tác động bất lợi cho sức khỏe con người</w:t>
      </w:r>
      <w:r w:rsidRPr="009F7625">
        <w:rPr>
          <w:sz w:val="28"/>
          <w:szCs w:val="28"/>
        </w:rPr>
        <w:t xml:space="preserve">. Do đó, </w:t>
      </w:r>
      <w:r w:rsidR="00251530" w:rsidRPr="009F7625">
        <w:rPr>
          <w:sz w:val="28"/>
          <w:szCs w:val="28"/>
        </w:rPr>
        <w:t>để bảo đảm mức độ bảo vệ cao nhất cho người tiêu dùng trong Liên minh, không được phép tồn tại bất kỳ mức dư lượng nào có khả năng dẫn đến việc phơi nhiễm cho người tiêu dùng</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lang w:val="vi-VN"/>
        </w:rPr>
      </w:pPr>
      <w:r w:rsidRPr="009F7625">
        <w:rPr>
          <w:sz w:val="28"/>
          <w:szCs w:val="28"/>
        </w:rPr>
        <w:t>29</w:t>
      </w:r>
      <w:r w:rsidR="00727C11" w:rsidRPr="009F7625">
        <w:rPr>
          <w:sz w:val="28"/>
          <w:szCs w:val="28"/>
        </w:rPr>
        <w:t>.</w:t>
      </w:r>
      <w:r w:rsidRPr="009F7625">
        <w:rPr>
          <w:sz w:val="28"/>
          <w:szCs w:val="28"/>
        </w:rPr>
        <w:t xml:space="preserve"> Ngoài ra, </w:t>
      </w:r>
      <w:r w:rsidR="00251530" w:rsidRPr="009F7625">
        <w:rPr>
          <w:sz w:val="28"/>
          <w:szCs w:val="28"/>
        </w:rPr>
        <w:t>quy định này còn áp dụng đối với các chất: chất</w:t>
      </w:r>
      <w:r w:rsidRPr="009F7625">
        <w:rPr>
          <w:sz w:val="28"/>
          <w:szCs w:val="28"/>
        </w:rPr>
        <w:t xml:space="preserve"> ô nhiễm hữu cơ khó phân hủy (POP), chất khó phân hủy, tích </w:t>
      </w:r>
      <w:r w:rsidR="00251530" w:rsidRPr="009F7625">
        <w:rPr>
          <w:sz w:val="28"/>
          <w:szCs w:val="28"/>
        </w:rPr>
        <w:t xml:space="preserve">lũy </w:t>
      </w:r>
      <w:r w:rsidRPr="009F7625">
        <w:rPr>
          <w:sz w:val="28"/>
          <w:szCs w:val="28"/>
        </w:rPr>
        <w:t xml:space="preserve">sinh học và độc hại (PBT), và chất rất khó phân hủy và rất dễ tích </w:t>
      </w:r>
      <w:r w:rsidR="00251530" w:rsidRPr="009F7625">
        <w:rPr>
          <w:sz w:val="28"/>
          <w:szCs w:val="28"/>
        </w:rPr>
        <w:t xml:space="preserve">lũy </w:t>
      </w:r>
      <w:r w:rsidRPr="009F7625">
        <w:rPr>
          <w:sz w:val="28"/>
          <w:szCs w:val="28"/>
        </w:rPr>
        <w:t>sinh học (vPvB), cũng như các chất có</w:t>
      </w:r>
      <w:r w:rsidR="001B580E" w:rsidRPr="009F7625">
        <w:rPr>
          <w:sz w:val="28"/>
          <w:szCs w:val="28"/>
        </w:rPr>
        <w:t xml:space="preserve"> đặc tính gây rối loạn nội tiết</w:t>
      </w:r>
      <w:r w:rsidRPr="009F7625">
        <w:rPr>
          <w:sz w:val="28"/>
          <w:szCs w:val="28"/>
        </w:rPr>
        <w:t xml:space="preserve">có thể gây ra tác động bất lợi đối với các sinh vật không phải </w:t>
      </w:r>
      <w:r w:rsidR="00631615" w:rsidRPr="009F7625">
        <w:rPr>
          <w:sz w:val="28"/>
          <w:szCs w:val="28"/>
        </w:rPr>
        <w:t xml:space="preserve">đối tượng </w:t>
      </w:r>
      <w:r w:rsidRPr="009F7625">
        <w:rPr>
          <w:sz w:val="28"/>
          <w:szCs w:val="28"/>
        </w:rPr>
        <w:t xml:space="preserve">mục tiêu. Các chất khó phân hủy, </w:t>
      </w:r>
      <w:r w:rsidR="00251530" w:rsidRPr="009F7625">
        <w:rPr>
          <w:sz w:val="28"/>
          <w:szCs w:val="28"/>
        </w:rPr>
        <w:t xml:space="preserve">do bản chất tự nhiên có khả năng chống </w:t>
      </w:r>
      <w:r w:rsidRPr="009F7625">
        <w:rPr>
          <w:sz w:val="28"/>
          <w:szCs w:val="28"/>
        </w:rPr>
        <w:t>lại</w:t>
      </w:r>
      <w:r w:rsidR="00251530" w:rsidRPr="009F7625">
        <w:rPr>
          <w:sz w:val="28"/>
          <w:szCs w:val="28"/>
        </w:rPr>
        <w:t xml:space="preserve"> quá trình</w:t>
      </w:r>
      <w:r w:rsidRPr="009F7625">
        <w:rPr>
          <w:sz w:val="28"/>
          <w:szCs w:val="28"/>
        </w:rPr>
        <w:t xml:space="preserve"> phân hủy, dẫn đến sự </w:t>
      </w:r>
      <w:r w:rsidR="00251530" w:rsidRPr="009F7625">
        <w:rPr>
          <w:sz w:val="28"/>
          <w:szCs w:val="28"/>
        </w:rPr>
        <w:t>hiện diện</w:t>
      </w:r>
      <w:r w:rsidRPr="009F7625">
        <w:rPr>
          <w:sz w:val="28"/>
          <w:szCs w:val="28"/>
        </w:rPr>
        <w:t xml:space="preserve"> kéo dài trong môi trường. Sự tích </w:t>
      </w:r>
      <w:r w:rsidR="00251530" w:rsidRPr="009F7625">
        <w:rPr>
          <w:sz w:val="28"/>
          <w:szCs w:val="28"/>
        </w:rPr>
        <w:t xml:space="preserve">lũy </w:t>
      </w:r>
      <w:r w:rsidRPr="009F7625">
        <w:rPr>
          <w:sz w:val="28"/>
          <w:szCs w:val="28"/>
        </w:rPr>
        <w:t xml:space="preserve">của chúng </w:t>
      </w:r>
      <w:r w:rsidR="00251530" w:rsidRPr="009F7625">
        <w:rPr>
          <w:sz w:val="28"/>
          <w:szCs w:val="28"/>
        </w:rPr>
        <w:t xml:space="preserve">tạo </w:t>
      </w:r>
      <w:r w:rsidRPr="009F7625">
        <w:rPr>
          <w:sz w:val="28"/>
          <w:szCs w:val="28"/>
        </w:rPr>
        <w:t xml:space="preserve">ra mối đe dọa đáng kể đối với hệ sinh thái, gây nguy hiểm cho đa dạng sinh học, sản xuất nông nghiệp và an ninh lương thực. </w:t>
      </w:r>
      <w:r w:rsidR="00251530" w:rsidRPr="009F7625">
        <w:rPr>
          <w:sz w:val="28"/>
          <w:szCs w:val="28"/>
        </w:rPr>
        <w:t xml:space="preserve">Tương tự, các </w:t>
      </w:r>
      <w:r w:rsidRPr="009F7625">
        <w:rPr>
          <w:sz w:val="28"/>
          <w:szCs w:val="28"/>
        </w:rPr>
        <w:t>chất gây rối loạn nội tiết can thiệp vào hệ thống</w:t>
      </w:r>
      <w:r w:rsidR="00251530" w:rsidRPr="009F7625">
        <w:rPr>
          <w:sz w:val="28"/>
          <w:szCs w:val="28"/>
        </w:rPr>
        <w:t xml:space="preserve"> nội tiết(</w:t>
      </w:r>
      <w:r w:rsidRPr="009F7625">
        <w:rPr>
          <w:sz w:val="28"/>
          <w:szCs w:val="28"/>
        </w:rPr>
        <w:t>hormone</w:t>
      </w:r>
      <w:r w:rsidR="00251530" w:rsidRPr="009F7625">
        <w:rPr>
          <w:sz w:val="28"/>
          <w:szCs w:val="28"/>
        </w:rPr>
        <w:t>)</w:t>
      </w:r>
      <w:r w:rsidRPr="009F7625">
        <w:rPr>
          <w:sz w:val="28"/>
          <w:szCs w:val="28"/>
        </w:rPr>
        <w:t xml:space="preserve"> của sinh vật sống, gây ra các tác động </w:t>
      </w:r>
      <w:r w:rsidR="00251530" w:rsidRPr="009F7625">
        <w:rPr>
          <w:sz w:val="28"/>
          <w:szCs w:val="28"/>
        </w:rPr>
        <w:t>gây hại</w:t>
      </w:r>
      <w:r w:rsidRPr="009F7625">
        <w:rPr>
          <w:sz w:val="28"/>
          <w:szCs w:val="28"/>
        </w:rPr>
        <w:t xml:space="preserve"> không chỉ đối với các loài riêng lẻ, bao gồm các loài di cư, mà còn đối với toàn bộ hệ sinh thái</w:t>
      </w:r>
      <w:r w:rsidR="00631615" w:rsidRPr="009F7625">
        <w:rPr>
          <w:sz w:val="28"/>
          <w:szCs w:val="28"/>
        </w:rPr>
        <w:t xml:space="preserve"> vượt ra ngoài</w:t>
      </w:r>
      <w:r w:rsidRPr="009F7625">
        <w:rPr>
          <w:sz w:val="28"/>
          <w:szCs w:val="28"/>
        </w:rPr>
        <w:t xml:space="preserve"> biên giới quốc gia. Do đó, các chất này </w:t>
      </w:r>
      <w:r w:rsidR="00251530" w:rsidRPr="009F7625">
        <w:rPr>
          <w:sz w:val="28"/>
          <w:szCs w:val="28"/>
        </w:rPr>
        <w:t xml:space="preserve">gây </w:t>
      </w:r>
      <w:r w:rsidRPr="009F7625">
        <w:rPr>
          <w:sz w:val="28"/>
          <w:szCs w:val="28"/>
        </w:rPr>
        <w:t xml:space="preserve">ra những </w:t>
      </w:r>
      <w:r w:rsidR="00251530" w:rsidRPr="009F7625">
        <w:rPr>
          <w:sz w:val="28"/>
          <w:szCs w:val="28"/>
        </w:rPr>
        <w:t xml:space="preserve">quan </w:t>
      </w:r>
      <w:r w:rsidRPr="009F7625">
        <w:rPr>
          <w:sz w:val="28"/>
          <w:szCs w:val="28"/>
        </w:rPr>
        <w:t>ngại về môi trường có tính chất toàn cầu có mối liên hệvới lãnh thổ của Liên minh.</w:t>
      </w:r>
      <w:r w:rsidR="00251530" w:rsidRPr="009F7625">
        <w:rPr>
          <w:sz w:val="28"/>
          <w:szCs w:val="28"/>
        </w:rPr>
        <w:t xml:space="preserve"> Việc</w:t>
      </w:r>
      <w:r w:rsidR="00191A96" w:rsidRPr="009F7625">
        <w:rPr>
          <w:sz w:val="28"/>
          <w:szCs w:val="28"/>
        </w:rPr>
        <w:t xml:space="preserve"> </w:t>
      </w:r>
      <w:r w:rsidR="00251530" w:rsidRPr="009F7625">
        <w:rPr>
          <w:sz w:val="28"/>
          <w:szCs w:val="28"/>
        </w:rPr>
        <w:t xml:space="preserve">không </w:t>
      </w:r>
      <w:r w:rsidRPr="009F7625">
        <w:rPr>
          <w:sz w:val="28"/>
          <w:szCs w:val="28"/>
        </w:rPr>
        <w:t>cho phép dư lượng các chất này trong thực phẩm ở Liên minh</w:t>
      </w:r>
      <w:r w:rsidR="00251530" w:rsidRPr="009F7625">
        <w:rPr>
          <w:sz w:val="28"/>
          <w:szCs w:val="28"/>
        </w:rPr>
        <w:t xml:space="preserve"> là</w:t>
      </w:r>
      <w:r w:rsidRPr="009F7625">
        <w:rPr>
          <w:sz w:val="28"/>
          <w:szCs w:val="28"/>
        </w:rPr>
        <w:t xml:space="preserve"> phù hợp với </w:t>
      </w:r>
      <w:r w:rsidR="00251530" w:rsidRPr="009F7625">
        <w:rPr>
          <w:sz w:val="28"/>
          <w:szCs w:val="28"/>
        </w:rPr>
        <w:t xml:space="preserve">các </w:t>
      </w:r>
      <w:r w:rsidRPr="009F7625">
        <w:rPr>
          <w:sz w:val="28"/>
          <w:szCs w:val="28"/>
        </w:rPr>
        <w:t xml:space="preserve">nỗ lực quốc tế </w:t>
      </w:r>
      <w:r w:rsidR="00251530" w:rsidRPr="009F7625">
        <w:rPr>
          <w:sz w:val="28"/>
          <w:szCs w:val="28"/>
        </w:rPr>
        <w:t xml:space="preserve">trong việc </w:t>
      </w:r>
      <w:r w:rsidRPr="009F7625">
        <w:rPr>
          <w:sz w:val="28"/>
          <w:szCs w:val="28"/>
        </w:rPr>
        <w:t>chống ô nhiễm</w:t>
      </w:r>
      <w:r w:rsidR="00251530" w:rsidRPr="009F7625">
        <w:rPr>
          <w:sz w:val="28"/>
          <w:szCs w:val="28"/>
        </w:rPr>
        <w:t>, đồng thời</w:t>
      </w:r>
      <w:r w:rsidR="00191A96" w:rsidRPr="009F7625">
        <w:rPr>
          <w:sz w:val="28"/>
          <w:szCs w:val="28"/>
        </w:rPr>
        <w:t xml:space="preserve"> </w:t>
      </w:r>
      <w:r w:rsidR="00251530" w:rsidRPr="009F7625">
        <w:rPr>
          <w:sz w:val="28"/>
          <w:szCs w:val="28"/>
        </w:rPr>
        <w:t>ủng hộ</w:t>
      </w:r>
      <w:r w:rsidRPr="009F7625">
        <w:rPr>
          <w:sz w:val="28"/>
          <w:szCs w:val="28"/>
        </w:rPr>
        <w:t xml:space="preserve"> các sáng kiến toàn cầu </w:t>
      </w:r>
      <w:r w:rsidR="00251530" w:rsidRPr="009F7625">
        <w:rPr>
          <w:sz w:val="28"/>
          <w:szCs w:val="28"/>
        </w:rPr>
        <w:t xml:space="preserve">nhằm </w:t>
      </w:r>
      <w:r w:rsidRPr="009F7625">
        <w:rPr>
          <w:sz w:val="28"/>
          <w:szCs w:val="28"/>
        </w:rPr>
        <w:t xml:space="preserve">phát triển bền vững và bảo tồn đa dạng sinh </w:t>
      </w:r>
      <w:r w:rsidR="001B580E" w:rsidRPr="009F7625">
        <w:rPr>
          <w:sz w:val="28"/>
          <w:szCs w:val="28"/>
        </w:rPr>
        <w:t>học</w:t>
      </w:r>
      <w:r w:rsidR="001B580E" w:rsidRPr="009F7625">
        <w:rPr>
          <w:sz w:val="28"/>
          <w:szCs w:val="28"/>
          <w:lang w:val="vi-VN"/>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30</w:t>
      </w:r>
      <w:r w:rsidR="00727C11" w:rsidRPr="009F7625">
        <w:rPr>
          <w:sz w:val="28"/>
          <w:szCs w:val="28"/>
        </w:rPr>
        <w:t>.</w:t>
      </w:r>
      <w:r w:rsidRPr="009F7625">
        <w:rPr>
          <w:sz w:val="28"/>
          <w:szCs w:val="28"/>
        </w:rPr>
        <w:t xml:space="preserve"> Trong trường hợp </w:t>
      </w:r>
      <w:r w:rsidR="00631615" w:rsidRPr="009F7625">
        <w:rPr>
          <w:sz w:val="28"/>
          <w:szCs w:val="28"/>
        </w:rPr>
        <w:t xml:space="preserve">chưa </w:t>
      </w:r>
      <w:r w:rsidRPr="009F7625">
        <w:rPr>
          <w:sz w:val="28"/>
          <w:szCs w:val="28"/>
        </w:rPr>
        <w:t xml:space="preserve">có đánh giá </w:t>
      </w:r>
      <w:r w:rsidR="00631615" w:rsidRPr="009F7625">
        <w:rPr>
          <w:sz w:val="28"/>
          <w:szCs w:val="28"/>
        </w:rPr>
        <w:t>phù hợp</w:t>
      </w:r>
      <w:r w:rsidRPr="009F7625">
        <w:rPr>
          <w:sz w:val="28"/>
          <w:szCs w:val="28"/>
        </w:rPr>
        <w:t xml:space="preserve"> của Cơ quan về các đặc tính nguy hại của chất theo Quy định (EC) số 1107/2009, Ủy ban </w:t>
      </w:r>
      <w:r w:rsidR="00631615" w:rsidRPr="009F7625">
        <w:rPr>
          <w:sz w:val="28"/>
          <w:szCs w:val="28"/>
        </w:rPr>
        <w:t>cần đề nghị</w:t>
      </w:r>
      <w:r w:rsidRPr="009F7625">
        <w:rPr>
          <w:sz w:val="28"/>
          <w:szCs w:val="28"/>
        </w:rPr>
        <w:t xml:space="preserve"> Cơ quan </w:t>
      </w:r>
      <w:r w:rsidR="00631615" w:rsidRPr="009F7625">
        <w:rPr>
          <w:sz w:val="28"/>
          <w:szCs w:val="28"/>
        </w:rPr>
        <w:t xml:space="preserve">thực hiện </w:t>
      </w:r>
      <w:r w:rsidRPr="009F7625">
        <w:rPr>
          <w:sz w:val="28"/>
          <w:szCs w:val="28"/>
        </w:rPr>
        <w:t xml:space="preserve">đánh giá theo Điều 43 của Quy định (EC) số 396/2005. </w:t>
      </w:r>
      <w:r w:rsidR="00631615" w:rsidRPr="009F7625">
        <w:rPr>
          <w:sz w:val="28"/>
          <w:szCs w:val="28"/>
        </w:rPr>
        <w:t>Ngoài ra</w:t>
      </w:r>
      <w:r w:rsidRPr="009F7625">
        <w:rPr>
          <w:sz w:val="28"/>
          <w:szCs w:val="28"/>
        </w:rPr>
        <w:t xml:space="preserve">, thuật ngữ "dung sai nhập khẩu" (import tolerance) thường bị hiểu sai. Do đó, </w:t>
      </w:r>
      <w:r w:rsidR="00631615" w:rsidRPr="009F7625">
        <w:rPr>
          <w:sz w:val="28"/>
          <w:szCs w:val="28"/>
        </w:rPr>
        <w:t xml:space="preserve">cần bãi bỏ thuật ngữ này và </w:t>
      </w:r>
      <w:r w:rsidRPr="009F7625">
        <w:rPr>
          <w:sz w:val="28"/>
          <w:szCs w:val="28"/>
        </w:rPr>
        <w:t>làm rõ rằng định nghĩa về thực hành nông nghiệp tốt</w:t>
      </w:r>
      <w:r w:rsidR="00631615" w:rsidRPr="009F7625">
        <w:rPr>
          <w:sz w:val="28"/>
          <w:szCs w:val="28"/>
        </w:rPr>
        <w:t xml:space="preserve"> (GAP) được</w:t>
      </w:r>
      <w:r w:rsidRPr="009F7625">
        <w:rPr>
          <w:sz w:val="28"/>
          <w:szCs w:val="28"/>
        </w:rPr>
        <w:t xml:space="preserve"> áp dụng </w:t>
      </w:r>
      <w:r w:rsidR="00631615" w:rsidRPr="009F7625">
        <w:rPr>
          <w:sz w:val="28"/>
          <w:szCs w:val="28"/>
        </w:rPr>
        <w:t xml:space="preserve">tương đươngđối với </w:t>
      </w:r>
      <w:r w:rsidRPr="009F7625">
        <w:rPr>
          <w:sz w:val="28"/>
          <w:szCs w:val="28"/>
        </w:rPr>
        <w:t xml:space="preserve">Liên minh và một nước thứ ba trong việc thiết lập </w:t>
      </w:r>
      <w:r w:rsidR="00631615" w:rsidRPr="009F7625">
        <w:rPr>
          <w:sz w:val="28"/>
          <w:szCs w:val="28"/>
        </w:rPr>
        <w:t>các mức dư lượng tối đa (</w:t>
      </w:r>
      <w:r w:rsidRPr="009F7625">
        <w:rPr>
          <w:sz w:val="28"/>
          <w:szCs w:val="28"/>
        </w:rPr>
        <w:t>MRL</w:t>
      </w:r>
      <w:r w:rsidR="00631615" w:rsidRPr="009F7625">
        <w:rPr>
          <w:sz w:val="28"/>
          <w:szCs w:val="28"/>
        </w:rPr>
        <w:t>)</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w:t>
      </w:r>
      <w:r w:rsidR="00727C11" w:rsidRPr="009F7625">
        <w:rPr>
          <w:sz w:val="28"/>
          <w:szCs w:val="28"/>
        </w:rPr>
        <w:t>1.</w:t>
      </w:r>
      <w:r w:rsidRPr="009F7625">
        <w:rPr>
          <w:sz w:val="28"/>
          <w:szCs w:val="28"/>
        </w:rPr>
        <w:t xml:space="preserve"> Khi</w:t>
      </w:r>
      <w:r w:rsidR="00631615" w:rsidRPr="009F7625">
        <w:rPr>
          <w:sz w:val="28"/>
          <w:szCs w:val="28"/>
        </w:rPr>
        <w:t xml:space="preserve"> điều chỉnh giảm mức dư lượng tối đa (</w:t>
      </w:r>
      <w:r w:rsidRPr="009F7625">
        <w:rPr>
          <w:sz w:val="28"/>
          <w:szCs w:val="28"/>
        </w:rPr>
        <w:t>MRL</w:t>
      </w:r>
      <w:r w:rsidR="00631615" w:rsidRPr="009F7625">
        <w:rPr>
          <w:sz w:val="28"/>
          <w:szCs w:val="28"/>
        </w:rPr>
        <w:t>)</w:t>
      </w:r>
      <w:r w:rsidRPr="009F7625">
        <w:rPr>
          <w:sz w:val="28"/>
          <w:szCs w:val="28"/>
        </w:rPr>
        <w:t xml:space="preserve"> theo Quy định (EC) số 396/2005, cần </w:t>
      </w:r>
      <w:r w:rsidR="00631615" w:rsidRPr="009F7625">
        <w:rPr>
          <w:sz w:val="28"/>
          <w:szCs w:val="28"/>
        </w:rPr>
        <w:t>dành</w:t>
      </w:r>
      <w:r w:rsidRPr="009F7625">
        <w:rPr>
          <w:sz w:val="28"/>
          <w:szCs w:val="28"/>
        </w:rPr>
        <w:t xml:space="preserve"> một khoảng thời gian hợp lý trước khi các</w:t>
      </w:r>
      <w:r w:rsidR="00631615" w:rsidRPr="009F7625">
        <w:rPr>
          <w:sz w:val="28"/>
          <w:szCs w:val="28"/>
        </w:rPr>
        <w:t xml:space="preserve"> mức</w:t>
      </w:r>
      <w:r w:rsidRPr="009F7625">
        <w:rPr>
          <w:sz w:val="28"/>
          <w:szCs w:val="28"/>
        </w:rPr>
        <w:t xml:space="preserve"> MRL mới có hiệu lực</w:t>
      </w:r>
      <w:r w:rsidR="00631615" w:rsidRPr="009F7625">
        <w:rPr>
          <w:sz w:val="28"/>
          <w:szCs w:val="28"/>
        </w:rPr>
        <w:t xml:space="preserve"> thi hành</w:t>
      </w:r>
      <w:r w:rsidRPr="009F7625">
        <w:rPr>
          <w:sz w:val="28"/>
          <w:szCs w:val="28"/>
        </w:rPr>
        <w:t xml:space="preserve">, </w:t>
      </w:r>
      <w:r w:rsidR="00631615" w:rsidRPr="009F7625">
        <w:rPr>
          <w:sz w:val="28"/>
          <w:szCs w:val="28"/>
        </w:rPr>
        <w:t xml:space="preserve">nhằm </w:t>
      </w:r>
      <w:r w:rsidRPr="009F7625">
        <w:rPr>
          <w:sz w:val="28"/>
          <w:szCs w:val="28"/>
        </w:rPr>
        <w:t xml:space="preserve">cho phép các </w:t>
      </w:r>
      <w:r w:rsidR="00631615" w:rsidRPr="009F7625">
        <w:rPr>
          <w:sz w:val="28"/>
          <w:szCs w:val="28"/>
        </w:rPr>
        <w:t xml:space="preserve">quốc </w:t>
      </w:r>
      <w:r w:rsidRPr="009F7625">
        <w:rPr>
          <w:sz w:val="28"/>
          <w:szCs w:val="28"/>
        </w:rPr>
        <w:t xml:space="preserve">gia </w:t>
      </w:r>
      <w:r w:rsidR="00631615" w:rsidRPr="009F7625">
        <w:rPr>
          <w:sz w:val="28"/>
          <w:szCs w:val="28"/>
        </w:rPr>
        <w:t xml:space="preserve">thành </w:t>
      </w:r>
      <w:r w:rsidRPr="009F7625">
        <w:rPr>
          <w:sz w:val="28"/>
          <w:szCs w:val="28"/>
        </w:rPr>
        <w:t xml:space="preserve">viên, </w:t>
      </w:r>
      <w:r w:rsidR="00631615" w:rsidRPr="009F7625">
        <w:rPr>
          <w:sz w:val="28"/>
          <w:szCs w:val="28"/>
        </w:rPr>
        <w:t xml:space="preserve">các </w:t>
      </w:r>
      <w:r w:rsidRPr="009F7625">
        <w:rPr>
          <w:sz w:val="28"/>
          <w:szCs w:val="28"/>
        </w:rPr>
        <w:t xml:space="preserve">nước thứ ba và các </w:t>
      </w:r>
      <w:r w:rsidR="00732AF9" w:rsidRPr="009F7625">
        <w:rPr>
          <w:sz w:val="28"/>
          <w:szCs w:val="28"/>
        </w:rPr>
        <w:t>cơ sở kinh doanh thực phẩm</w:t>
      </w:r>
      <w:r w:rsidRPr="009F7625">
        <w:rPr>
          <w:sz w:val="28"/>
          <w:szCs w:val="28"/>
        </w:rPr>
        <w:t xml:space="preserve"> thích </w:t>
      </w:r>
      <w:r w:rsidR="00732AF9" w:rsidRPr="009F7625">
        <w:rPr>
          <w:sz w:val="28"/>
          <w:szCs w:val="28"/>
        </w:rPr>
        <w:t>ứng</w:t>
      </w:r>
      <w:r w:rsidR="00191A96" w:rsidRPr="009F7625">
        <w:rPr>
          <w:sz w:val="28"/>
          <w:szCs w:val="28"/>
        </w:rPr>
        <w:t xml:space="preserve"> </w:t>
      </w:r>
      <w:r w:rsidRPr="009F7625">
        <w:rPr>
          <w:sz w:val="28"/>
          <w:szCs w:val="28"/>
        </w:rPr>
        <w:t xml:space="preserve">với các yêu cầu mới. </w:t>
      </w:r>
      <w:r w:rsidR="00631615" w:rsidRPr="009F7625">
        <w:rPr>
          <w:sz w:val="28"/>
          <w:szCs w:val="28"/>
        </w:rPr>
        <w:t xml:space="preserve">Thực tế cho thấy </w:t>
      </w:r>
      <w:r w:rsidRPr="009F7625">
        <w:rPr>
          <w:sz w:val="28"/>
          <w:szCs w:val="28"/>
        </w:rPr>
        <w:t xml:space="preserve">các sản phẩm tươi sống, </w:t>
      </w:r>
      <w:r w:rsidR="00631615" w:rsidRPr="009F7625">
        <w:rPr>
          <w:sz w:val="28"/>
          <w:szCs w:val="28"/>
        </w:rPr>
        <w:t>do đặc tính dễ hư hỏng</w:t>
      </w:r>
      <w:r w:rsidRPr="009F7625">
        <w:rPr>
          <w:sz w:val="28"/>
          <w:szCs w:val="28"/>
        </w:rPr>
        <w:t>, thường được bán và tiêu thụ trước ngày áp dụng</w:t>
      </w:r>
      <w:r w:rsidR="00631615" w:rsidRPr="009F7625">
        <w:rPr>
          <w:sz w:val="28"/>
          <w:szCs w:val="28"/>
        </w:rPr>
        <w:t xml:space="preserve"> các mức</w:t>
      </w:r>
      <w:r w:rsidRPr="009F7625">
        <w:rPr>
          <w:sz w:val="28"/>
          <w:szCs w:val="28"/>
        </w:rPr>
        <w:t xml:space="preserve"> MRL mới. Tuy nhiên, các sản phẩm có thời hạn sử dụng kéo dài</w:t>
      </w:r>
      <w:r w:rsidR="00631615" w:rsidRPr="009F7625">
        <w:rPr>
          <w:sz w:val="28"/>
          <w:szCs w:val="28"/>
        </w:rPr>
        <w:t xml:space="preserve"> (</w:t>
      </w:r>
      <w:r w:rsidRPr="009F7625">
        <w:rPr>
          <w:sz w:val="28"/>
          <w:szCs w:val="28"/>
        </w:rPr>
        <w:t>thường là sản phẩm chế biến</w:t>
      </w:r>
      <w:r w:rsidR="00631615" w:rsidRPr="009F7625">
        <w:rPr>
          <w:sz w:val="28"/>
          <w:szCs w:val="28"/>
        </w:rPr>
        <w:t xml:space="preserve">) </w:t>
      </w:r>
      <w:r w:rsidRPr="009F7625">
        <w:rPr>
          <w:sz w:val="28"/>
          <w:szCs w:val="28"/>
        </w:rPr>
        <w:t xml:space="preserve">có thể vẫn còn </w:t>
      </w:r>
      <w:r w:rsidR="00631615" w:rsidRPr="009F7625">
        <w:rPr>
          <w:sz w:val="28"/>
          <w:szCs w:val="28"/>
        </w:rPr>
        <w:t xml:space="preserve">lưu thông </w:t>
      </w:r>
      <w:r w:rsidRPr="009F7625">
        <w:rPr>
          <w:sz w:val="28"/>
          <w:szCs w:val="28"/>
        </w:rPr>
        <w:t xml:space="preserve">trên thị trường khi các </w:t>
      </w:r>
      <w:r w:rsidR="00631615" w:rsidRPr="009F7625">
        <w:rPr>
          <w:sz w:val="28"/>
          <w:szCs w:val="28"/>
        </w:rPr>
        <w:t>m</w:t>
      </w:r>
      <w:r w:rsidR="00732AF9" w:rsidRPr="009F7625">
        <w:rPr>
          <w:sz w:val="28"/>
          <w:szCs w:val="28"/>
        </w:rPr>
        <w:t>ứ</w:t>
      </w:r>
      <w:r w:rsidR="00631615" w:rsidRPr="009F7625">
        <w:rPr>
          <w:sz w:val="28"/>
          <w:szCs w:val="28"/>
        </w:rPr>
        <w:t xml:space="preserve">c </w:t>
      </w:r>
      <w:r w:rsidRPr="009F7625">
        <w:rPr>
          <w:sz w:val="28"/>
          <w:szCs w:val="28"/>
        </w:rPr>
        <w:t xml:space="preserve">MRL mới thấp hơn có hiệu lực. Để đảm bảo tính chắc chắn về mặt pháp lý và ngăn ngừa tổn thất kinh tế không cần thiết cho nông dân và </w:t>
      </w:r>
      <w:r w:rsidR="00631615" w:rsidRPr="009F7625">
        <w:rPr>
          <w:sz w:val="28"/>
          <w:szCs w:val="28"/>
        </w:rPr>
        <w:t xml:space="preserve">các </w:t>
      </w:r>
      <w:r w:rsidR="00732AF9" w:rsidRPr="009F7625">
        <w:rPr>
          <w:sz w:val="28"/>
          <w:szCs w:val="28"/>
        </w:rPr>
        <w:t>cơ sở kinh doanh thực phẩm</w:t>
      </w:r>
      <w:r w:rsidRPr="009F7625">
        <w:rPr>
          <w:sz w:val="28"/>
          <w:szCs w:val="28"/>
        </w:rPr>
        <w:t>, cũng nh</w:t>
      </w:r>
      <w:r w:rsidR="00631615" w:rsidRPr="009F7625">
        <w:rPr>
          <w:sz w:val="28"/>
          <w:szCs w:val="28"/>
        </w:rPr>
        <w:t>ư tránh</w:t>
      </w:r>
      <w:r w:rsidRPr="009F7625">
        <w:rPr>
          <w:sz w:val="28"/>
          <w:szCs w:val="28"/>
        </w:rPr>
        <w:t xml:space="preserve"> lãng phí thực phẩm, việc cho phép các sản phẩm đã được </w:t>
      </w:r>
      <w:r w:rsidR="00732AF9" w:rsidRPr="009F7625">
        <w:rPr>
          <w:sz w:val="28"/>
          <w:szCs w:val="28"/>
        </w:rPr>
        <w:t xml:space="preserve">lưu thông trên </w:t>
      </w:r>
      <w:r w:rsidRPr="009F7625">
        <w:rPr>
          <w:sz w:val="28"/>
          <w:szCs w:val="28"/>
        </w:rPr>
        <w:t xml:space="preserve">thị trường Liên minh một cách hợp pháp trước ngày áp dụng </w:t>
      </w:r>
      <w:r w:rsidR="00631615" w:rsidRPr="009F7625">
        <w:rPr>
          <w:sz w:val="28"/>
          <w:szCs w:val="28"/>
        </w:rPr>
        <w:t xml:space="preserve">quy định mới và </w:t>
      </w:r>
      <w:r w:rsidRPr="009F7625">
        <w:rPr>
          <w:sz w:val="28"/>
          <w:szCs w:val="28"/>
        </w:rPr>
        <w:t>tuân thủ</w:t>
      </w:r>
      <w:r w:rsidR="00631615" w:rsidRPr="009F7625">
        <w:rPr>
          <w:sz w:val="28"/>
          <w:szCs w:val="28"/>
        </w:rPr>
        <w:t xml:space="preserve"> các mức</w:t>
      </w:r>
      <w:r w:rsidRPr="009F7625">
        <w:rPr>
          <w:sz w:val="28"/>
          <w:szCs w:val="28"/>
        </w:rPr>
        <w:t xml:space="preserve"> MRL có hiệu lực tại thời </w:t>
      </w:r>
      <w:r w:rsidRPr="009F7625">
        <w:rPr>
          <w:sz w:val="28"/>
          <w:szCs w:val="28"/>
        </w:rPr>
        <w:lastRenderedPageBreak/>
        <w:t xml:space="preserve">điểm </w:t>
      </w:r>
      <w:r w:rsidR="00631615" w:rsidRPr="009F7625">
        <w:rPr>
          <w:sz w:val="28"/>
          <w:szCs w:val="28"/>
        </w:rPr>
        <w:t>đó</w:t>
      </w:r>
      <w:r w:rsidRPr="009F7625">
        <w:rPr>
          <w:sz w:val="28"/>
          <w:szCs w:val="28"/>
        </w:rPr>
        <w:t xml:space="preserve"> được tiếp tục lưu </w:t>
      </w:r>
      <w:r w:rsidR="00C551A3" w:rsidRPr="009F7625">
        <w:rPr>
          <w:sz w:val="28"/>
          <w:szCs w:val="28"/>
        </w:rPr>
        <w:t>hành</w:t>
      </w:r>
      <w:r w:rsidRPr="009F7625">
        <w:rPr>
          <w:sz w:val="28"/>
          <w:szCs w:val="28"/>
        </w:rPr>
        <w:t xml:space="preserve"> là</w:t>
      </w:r>
      <w:r w:rsidR="00C551A3" w:rsidRPr="009F7625">
        <w:rPr>
          <w:sz w:val="28"/>
          <w:szCs w:val="28"/>
        </w:rPr>
        <w:t xml:space="preserve"> hoàn toàn</w:t>
      </w:r>
      <w:r w:rsidRPr="009F7625">
        <w:rPr>
          <w:sz w:val="28"/>
          <w:szCs w:val="28"/>
        </w:rPr>
        <w:t xml:space="preserve"> phù hợp, trừ </w:t>
      </w:r>
      <w:r w:rsidR="00C551A3" w:rsidRPr="009F7625">
        <w:rPr>
          <w:sz w:val="28"/>
          <w:szCs w:val="28"/>
        </w:rPr>
        <w:t xml:space="preserve">trường hợp </w:t>
      </w:r>
      <w:r w:rsidRPr="009F7625">
        <w:rPr>
          <w:sz w:val="28"/>
          <w:szCs w:val="28"/>
        </w:rPr>
        <w:t xml:space="preserve">an toàn thực </w:t>
      </w:r>
      <w:r w:rsidR="00732AF9" w:rsidRPr="009F7625">
        <w:rPr>
          <w:sz w:val="28"/>
          <w:szCs w:val="28"/>
        </w:rPr>
        <w:t xml:space="preserve">phẩm </w:t>
      </w:r>
      <w:r w:rsidR="00C551A3" w:rsidRPr="009F7625">
        <w:rPr>
          <w:sz w:val="28"/>
          <w:szCs w:val="28"/>
        </w:rPr>
        <w:t>không đảm bảo</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32</w:t>
      </w:r>
      <w:r w:rsidR="00727C11" w:rsidRPr="009F7625">
        <w:rPr>
          <w:sz w:val="28"/>
          <w:szCs w:val="28"/>
        </w:rPr>
        <w:t>.</w:t>
      </w:r>
      <w:r w:rsidRPr="009F7625">
        <w:rPr>
          <w:sz w:val="28"/>
          <w:szCs w:val="28"/>
        </w:rPr>
        <w:t xml:space="preserve"> Điều 16 của Quy định (EC) số 396/2005 quy định </w:t>
      </w:r>
      <w:r w:rsidR="00732AF9" w:rsidRPr="009F7625">
        <w:rPr>
          <w:sz w:val="28"/>
          <w:szCs w:val="28"/>
        </w:rPr>
        <w:t xml:space="preserve">thủ tục thiết lập các mức </w:t>
      </w:r>
      <w:r w:rsidRPr="009F7625">
        <w:rPr>
          <w:sz w:val="28"/>
          <w:szCs w:val="28"/>
        </w:rPr>
        <w:t xml:space="preserve">MRL tạm thời dựa trên dữ liệu giám sát, </w:t>
      </w:r>
      <w:r w:rsidR="00732AF9" w:rsidRPr="009F7625">
        <w:rPr>
          <w:sz w:val="28"/>
          <w:szCs w:val="28"/>
        </w:rPr>
        <w:t>theo đó các mức MRL này phải được rà soát trong một khung thời gian cụ thể (không quá 10 năm)</w:t>
      </w:r>
      <w:r w:rsidRPr="009F7625">
        <w:rPr>
          <w:sz w:val="28"/>
          <w:szCs w:val="28"/>
        </w:rPr>
        <w:t xml:space="preserve">. Tuy nhiên, một số </w:t>
      </w:r>
      <w:r w:rsidR="00732AF9" w:rsidRPr="009F7625">
        <w:rPr>
          <w:sz w:val="28"/>
          <w:szCs w:val="28"/>
        </w:rPr>
        <w:t xml:space="preserve">mức </w:t>
      </w:r>
      <w:r w:rsidRPr="009F7625">
        <w:rPr>
          <w:sz w:val="28"/>
          <w:szCs w:val="28"/>
        </w:rPr>
        <w:t xml:space="preserve">MRL nhất định dựa trên dữ liệu giám sát liên quan đến các hoạt chất đã không </w:t>
      </w:r>
      <w:r w:rsidR="00732AF9" w:rsidRPr="009F7625">
        <w:rPr>
          <w:sz w:val="28"/>
          <w:szCs w:val="28"/>
        </w:rPr>
        <w:t xml:space="preserve">còn </w:t>
      </w:r>
      <w:r w:rsidRPr="009F7625">
        <w:rPr>
          <w:sz w:val="28"/>
          <w:szCs w:val="28"/>
        </w:rPr>
        <w:t xml:space="preserve">được phê duyệt trong Liên minh </w:t>
      </w:r>
      <w:r w:rsidR="00732AF9" w:rsidRPr="009F7625">
        <w:rPr>
          <w:sz w:val="28"/>
          <w:szCs w:val="28"/>
        </w:rPr>
        <w:t xml:space="preserve">từ </w:t>
      </w:r>
      <w:r w:rsidRPr="009F7625">
        <w:rPr>
          <w:sz w:val="28"/>
          <w:szCs w:val="28"/>
        </w:rPr>
        <w:t xml:space="preserve">nhiều thập kỷ </w:t>
      </w:r>
      <w:r w:rsidR="00732AF9" w:rsidRPr="009F7625">
        <w:rPr>
          <w:sz w:val="28"/>
          <w:szCs w:val="28"/>
        </w:rPr>
        <w:t xml:space="preserve">nay, </w:t>
      </w:r>
      <w:r w:rsidRPr="009F7625">
        <w:rPr>
          <w:sz w:val="28"/>
          <w:szCs w:val="28"/>
        </w:rPr>
        <w:t>và mức dư lượng</w:t>
      </w:r>
      <w:r w:rsidR="00732AF9" w:rsidRPr="009F7625">
        <w:rPr>
          <w:sz w:val="28"/>
          <w:szCs w:val="28"/>
        </w:rPr>
        <w:t xml:space="preserve"> của chúng vẫn duy trì ổn định</w:t>
      </w:r>
      <w:r w:rsidRPr="009F7625">
        <w:rPr>
          <w:sz w:val="28"/>
          <w:szCs w:val="28"/>
        </w:rPr>
        <w:t xml:space="preserve"> theo thời gian. Việc </w:t>
      </w:r>
      <w:r w:rsidR="00732AF9" w:rsidRPr="009F7625">
        <w:rPr>
          <w:sz w:val="28"/>
          <w:szCs w:val="28"/>
        </w:rPr>
        <w:t>rà soát</w:t>
      </w:r>
      <w:r w:rsidRPr="009F7625">
        <w:rPr>
          <w:sz w:val="28"/>
          <w:szCs w:val="28"/>
        </w:rPr>
        <w:t xml:space="preserve"> các</w:t>
      </w:r>
      <w:r w:rsidR="00732AF9" w:rsidRPr="009F7625">
        <w:rPr>
          <w:sz w:val="28"/>
          <w:szCs w:val="28"/>
        </w:rPr>
        <w:t xml:space="preserve"> mức</w:t>
      </w:r>
      <w:r w:rsidRPr="009F7625">
        <w:rPr>
          <w:sz w:val="28"/>
          <w:szCs w:val="28"/>
        </w:rPr>
        <w:t xml:space="preserve"> MRL tạm </w:t>
      </w:r>
      <w:r w:rsidR="00732AF9" w:rsidRPr="009F7625">
        <w:rPr>
          <w:sz w:val="28"/>
          <w:szCs w:val="28"/>
        </w:rPr>
        <w:t xml:space="preserve">thời định kỳ mười năm một lần </w:t>
      </w:r>
      <w:r w:rsidRPr="009F7625">
        <w:rPr>
          <w:sz w:val="28"/>
          <w:szCs w:val="28"/>
        </w:rPr>
        <w:t xml:space="preserve">như vậy tạo ra gánh nặng không cần thiết cho các </w:t>
      </w:r>
      <w:r w:rsidR="00732AF9" w:rsidRPr="009F7625">
        <w:rPr>
          <w:sz w:val="28"/>
          <w:szCs w:val="28"/>
        </w:rPr>
        <w:t xml:space="preserve">quốc </w:t>
      </w:r>
      <w:r w:rsidRPr="009F7625">
        <w:rPr>
          <w:sz w:val="28"/>
          <w:szCs w:val="28"/>
        </w:rPr>
        <w:t xml:space="preserve">gia </w:t>
      </w:r>
      <w:r w:rsidR="00732AF9" w:rsidRPr="009F7625">
        <w:rPr>
          <w:sz w:val="28"/>
          <w:szCs w:val="28"/>
        </w:rPr>
        <w:t xml:space="preserve">thành </w:t>
      </w:r>
      <w:r w:rsidRPr="009F7625">
        <w:rPr>
          <w:sz w:val="28"/>
          <w:szCs w:val="28"/>
        </w:rPr>
        <w:t xml:space="preserve">viên, </w:t>
      </w:r>
      <w:r w:rsidR="00732AF9" w:rsidRPr="009F7625">
        <w:rPr>
          <w:sz w:val="28"/>
          <w:szCs w:val="28"/>
        </w:rPr>
        <w:t>các cơ sở kinh doanh thực phẩm</w:t>
      </w:r>
      <w:r w:rsidRPr="009F7625">
        <w:rPr>
          <w:sz w:val="28"/>
          <w:szCs w:val="28"/>
        </w:rPr>
        <w:t xml:space="preserve"> và Cơ quan trong việc </w:t>
      </w:r>
      <w:r w:rsidR="00732AF9" w:rsidRPr="009F7625">
        <w:rPr>
          <w:sz w:val="28"/>
          <w:szCs w:val="28"/>
        </w:rPr>
        <w:t>tạo lập</w:t>
      </w:r>
      <w:r w:rsidRPr="009F7625">
        <w:rPr>
          <w:sz w:val="28"/>
          <w:szCs w:val="28"/>
        </w:rPr>
        <w:t xml:space="preserve"> và phân tích dữ liệu.</w:t>
      </w:r>
      <w:r w:rsidR="00732AF9" w:rsidRPr="009F7625">
        <w:rPr>
          <w:sz w:val="28"/>
          <w:szCs w:val="28"/>
        </w:rPr>
        <w:t xml:space="preserve"> Xét thấy các mức</w:t>
      </w:r>
      <w:r w:rsidRPr="009F7625">
        <w:rPr>
          <w:sz w:val="28"/>
          <w:szCs w:val="28"/>
        </w:rPr>
        <w:t xml:space="preserve"> MRL có thể được </w:t>
      </w:r>
      <w:r w:rsidR="00732AF9" w:rsidRPr="009F7625">
        <w:rPr>
          <w:sz w:val="28"/>
          <w:szCs w:val="28"/>
        </w:rPr>
        <w:t>rà soát</w:t>
      </w:r>
      <w:r w:rsidRPr="009F7625">
        <w:rPr>
          <w:sz w:val="28"/>
          <w:szCs w:val="28"/>
        </w:rPr>
        <w:t xml:space="preserve"> bất kỳ lúc nào theo Điều 43 của Quy định (EC) số 396/2005, việc</w:t>
      </w:r>
      <w:r w:rsidR="00732AF9" w:rsidRPr="009F7625">
        <w:rPr>
          <w:sz w:val="28"/>
          <w:szCs w:val="28"/>
        </w:rPr>
        <w:t xml:space="preserve"> bãi bỏ yêu cầu rà soát định kỳ này</w:t>
      </w:r>
      <w:r w:rsidRPr="009F7625">
        <w:rPr>
          <w:sz w:val="28"/>
          <w:szCs w:val="28"/>
        </w:rPr>
        <w:t xml:space="preserve"> là phù hợp.</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33</w:t>
      </w:r>
      <w:r w:rsidR="00727C11" w:rsidRPr="009F7625">
        <w:rPr>
          <w:sz w:val="28"/>
          <w:szCs w:val="28"/>
        </w:rPr>
        <w:t>.</w:t>
      </w:r>
      <w:r w:rsidR="00C95A55" w:rsidRPr="009F7625">
        <w:rPr>
          <w:sz w:val="28"/>
          <w:szCs w:val="28"/>
        </w:rPr>
        <w:t>T</w:t>
      </w:r>
      <w:r w:rsidRPr="009F7625">
        <w:rPr>
          <w:sz w:val="28"/>
          <w:szCs w:val="28"/>
        </w:rPr>
        <w:t>huật ngữ giới hạn xác định (LOD) được sử dụng trong Quy định (EEC) số 396/2005 và 'giới hạn định lượng (LOQ) được sử dụng trong các tiêu chuẩn quốc tế về phân tích phòng thí nghiệm có cùng ý nghĩa. Tuy nhiên, từ viết tắt LOD có thể bị nhầm lẫn với giới hạn phát hiện (limit of detection).</w:t>
      </w:r>
      <w:r w:rsidR="00C95A55" w:rsidRPr="009F7625">
        <w:rPr>
          <w:sz w:val="28"/>
          <w:szCs w:val="28"/>
        </w:rPr>
        <w:t xml:space="preserve"> Do đó, nhằm</w:t>
      </w:r>
      <w:r w:rsidR="001B580E" w:rsidRPr="009F7625">
        <w:rPr>
          <w:sz w:val="28"/>
          <w:szCs w:val="28"/>
        </w:rPr>
        <w:t xml:space="preserve">tránh nhầm lẫn </w:t>
      </w:r>
      <w:r w:rsidR="00C95A55" w:rsidRPr="009F7625">
        <w:rPr>
          <w:sz w:val="28"/>
          <w:szCs w:val="28"/>
        </w:rPr>
        <w:t>cho các cơ sở kinh doanh thực phẩm và các phòng thí nghiệm, cần điều chỉnh Quy định (EC) số 396/2005 cho phù hợp với thuật ngữ quốc tế được công nhận</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34</w:t>
      </w:r>
      <w:r w:rsidR="00727C11" w:rsidRPr="009F7625">
        <w:rPr>
          <w:sz w:val="28"/>
          <w:szCs w:val="28"/>
        </w:rPr>
        <w:t>.</w:t>
      </w:r>
      <w:r w:rsidRPr="009F7625">
        <w:rPr>
          <w:sz w:val="28"/>
          <w:szCs w:val="28"/>
        </w:rPr>
        <w:t xml:space="preserve"> Quy định (EU) số 528/2012 quy định các thủ tục phê duyệt hoạt chất diệt khuẩn</w:t>
      </w:r>
      <w:r w:rsidR="00C22127" w:rsidRPr="009F7625">
        <w:rPr>
          <w:sz w:val="28"/>
          <w:szCs w:val="28"/>
        </w:rPr>
        <w:t xml:space="preserve">, cũng như </w:t>
      </w:r>
      <w:r w:rsidRPr="009F7625">
        <w:rPr>
          <w:sz w:val="28"/>
          <w:szCs w:val="28"/>
        </w:rPr>
        <w:t xml:space="preserve">cấp phép, đưa ra thị trường và sử dụng các sản phẩm diệt khuẩn. Việc hoàn thành chương trình </w:t>
      </w:r>
      <w:r w:rsidR="00C22127" w:rsidRPr="009F7625">
        <w:rPr>
          <w:sz w:val="28"/>
          <w:szCs w:val="28"/>
        </w:rPr>
        <w:t>rà soát</w:t>
      </w:r>
      <w:r w:rsidRPr="009F7625">
        <w:rPr>
          <w:sz w:val="28"/>
          <w:szCs w:val="28"/>
        </w:rPr>
        <w:t xml:space="preserve"> các hoạt chất diệt khuẩn hiện có </w:t>
      </w:r>
      <w:r w:rsidR="00C22127" w:rsidRPr="009F7625">
        <w:rPr>
          <w:sz w:val="28"/>
          <w:szCs w:val="28"/>
        </w:rPr>
        <w:t xml:space="preserve">quy định theo </w:t>
      </w:r>
      <w:r w:rsidRPr="009F7625">
        <w:rPr>
          <w:sz w:val="28"/>
          <w:szCs w:val="28"/>
        </w:rPr>
        <w:t>Điều 89</w:t>
      </w:r>
      <w:r w:rsidR="00C22127" w:rsidRPr="009F7625">
        <w:rPr>
          <w:sz w:val="28"/>
          <w:szCs w:val="28"/>
        </w:rPr>
        <w:t xml:space="preserve"> tại</w:t>
      </w:r>
      <w:r w:rsidRPr="009F7625">
        <w:rPr>
          <w:sz w:val="28"/>
          <w:szCs w:val="28"/>
        </w:rPr>
        <w:t xml:space="preserve"> Quy định </w:t>
      </w:r>
      <w:r w:rsidR="00C22127" w:rsidRPr="009F7625">
        <w:rPr>
          <w:sz w:val="28"/>
          <w:szCs w:val="28"/>
        </w:rPr>
        <w:t>này đang bị chậm trễ</w:t>
      </w:r>
      <w:r w:rsidRPr="009F7625">
        <w:rPr>
          <w:sz w:val="28"/>
          <w:szCs w:val="28"/>
        </w:rPr>
        <w:t xml:space="preserve"> đáng kể. Để đảm bảo các </w:t>
      </w:r>
      <w:r w:rsidR="00C22127" w:rsidRPr="009F7625">
        <w:rPr>
          <w:sz w:val="28"/>
          <w:szCs w:val="28"/>
        </w:rPr>
        <w:t xml:space="preserve">quốc </w:t>
      </w:r>
      <w:r w:rsidRPr="009F7625">
        <w:rPr>
          <w:sz w:val="28"/>
          <w:szCs w:val="28"/>
        </w:rPr>
        <w:t xml:space="preserve">gia </w:t>
      </w:r>
      <w:r w:rsidR="00C22127" w:rsidRPr="009F7625">
        <w:rPr>
          <w:sz w:val="28"/>
          <w:szCs w:val="28"/>
        </w:rPr>
        <w:t xml:space="preserve">thành </w:t>
      </w:r>
      <w:r w:rsidRPr="009F7625">
        <w:rPr>
          <w:sz w:val="28"/>
          <w:szCs w:val="28"/>
        </w:rPr>
        <w:t xml:space="preserve">viên có thể </w:t>
      </w:r>
      <w:r w:rsidR="00C22127" w:rsidRPr="009F7625">
        <w:rPr>
          <w:sz w:val="28"/>
          <w:szCs w:val="28"/>
        </w:rPr>
        <w:t xml:space="preserve">tập tủng </w:t>
      </w:r>
      <w:r w:rsidRPr="009F7625">
        <w:rPr>
          <w:sz w:val="28"/>
          <w:szCs w:val="28"/>
        </w:rPr>
        <w:t xml:space="preserve">nguồn lực của mình cho việc hoàn thành chương trình </w:t>
      </w:r>
      <w:r w:rsidR="00C22127" w:rsidRPr="009F7625">
        <w:rPr>
          <w:sz w:val="28"/>
          <w:szCs w:val="28"/>
        </w:rPr>
        <w:t>rà soát</w:t>
      </w:r>
      <w:r w:rsidRPr="009F7625">
        <w:rPr>
          <w:sz w:val="28"/>
          <w:szCs w:val="28"/>
        </w:rPr>
        <w:t xml:space="preserve">, cần </w:t>
      </w:r>
      <w:r w:rsidR="00C22127" w:rsidRPr="009F7625">
        <w:rPr>
          <w:sz w:val="28"/>
          <w:szCs w:val="28"/>
        </w:rPr>
        <w:t>quy định</w:t>
      </w:r>
      <w:r w:rsidRPr="009F7625">
        <w:rPr>
          <w:sz w:val="28"/>
          <w:szCs w:val="28"/>
        </w:rPr>
        <w:t xml:space="preserve"> thời hạn </w:t>
      </w:r>
      <w:r w:rsidR="00C22127" w:rsidRPr="009F7625">
        <w:rPr>
          <w:sz w:val="28"/>
          <w:szCs w:val="28"/>
        </w:rPr>
        <w:t xml:space="preserve">phê duyệt </w:t>
      </w:r>
      <w:r w:rsidRPr="009F7625">
        <w:rPr>
          <w:sz w:val="28"/>
          <w:szCs w:val="28"/>
        </w:rPr>
        <w:t xml:space="preserve">không giới hạn </w:t>
      </w:r>
      <w:r w:rsidR="00C22127" w:rsidRPr="009F7625">
        <w:rPr>
          <w:sz w:val="28"/>
          <w:szCs w:val="28"/>
        </w:rPr>
        <w:t>đối với các hoạt chất</w:t>
      </w:r>
      <w:r w:rsidRPr="009F7625">
        <w:rPr>
          <w:sz w:val="28"/>
          <w:szCs w:val="28"/>
        </w:rPr>
        <w:t xml:space="preserve">, ngoại trừ các hoạt chất đáp ứng tiêu chí loại trừ hoặc thay thế theo </w:t>
      </w:r>
      <w:r w:rsidR="00C22127" w:rsidRPr="009F7625">
        <w:rPr>
          <w:sz w:val="28"/>
          <w:szCs w:val="28"/>
        </w:rPr>
        <w:t xml:space="preserve">Khoản 1, </w:t>
      </w:r>
      <w:r w:rsidRPr="009F7625">
        <w:rPr>
          <w:sz w:val="28"/>
          <w:szCs w:val="28"/>
        </w:rPr>
        <w:t xml:space="preserve">Điều 5 hoặc Điều 10 của Quy định </w:t>
      </w:r>
      <w:r w:rsidR="00C22127" w:rsidRPr="009F7625">
        <w:rPr>
          <w:sz w:val="28"/>
          <w:szCs w:val="28"/>
        </w:rPr>
        <w:t xml:space="preserve">này, do </w:t>
      </w:r>
      <w:r w:rsidRPr="009F7625">
        <w:rPr>
          <w:sz w:val="28"/>
          <w:szCs w:val="28"/>
        </w:rPr>
        <w:t>các</w:t>
      </w:r>
      <w:r w:rsidR="00C22127" w:rsidRPr="009F7625">
        <w:rPr>
          <w:sz w:val="28"/>
          <w:szCs w:val="28"/>
        </w:rPr>
        <w:t xml:space="preserve"> hoạt</w:t>
      </w:r>
      <w:r w:rsidRPr="009F7625">
        <w:rPr>
          <w:sz w:val="28"/>
          <w:szCs w:val="28"/>
        </w:rPr>
        <w:t xml:space="preserve"> chất </w:t>
      </w:r>
      <w:r w:rsidR="00C22127" w:rsidRPr="009F7625">
        <w:rPr>
          <w:sz w:val="28"/>
          <w:szCs w:val="28"/>
        </w:rPr>
        <w:t xml:space="preserve">đó </w:t>
      </w:r>
      <w:r w:rsidRPr="009F7625">
        <w:rPr>
          <w:sz w:val="28"/>
          <w:szCs w:val="28"/>
        </w:rPr>
        <w:t>có</w:t>
      </w:r>
      <w:r w:rsidR="00C22127" w:rsidRPr="009F7625">
        <w:rPr>
          <w:sz w:val="28"/>
          <w:szCs w:val="28"/>
        </w:rPr>
        <w:t xml:space="preserve"> những</w:t>
      </w:r>
      <w:r w:rsidRPr="009F7625">
        <w:rPr>
          <w:sz w:val="28"/>
          <w:szCs w:val="28"/>
        </w:rPr>
        <w:t xml:space="preserve"> các đặc tính gây </w:t>
      </w:r>
      <w:r w:rsidR="00C22127" w:rsidRPr="009F7625">
        <w:rPr>
          <w:sz w:val="28"/>
          <w:szCs w:val="28"/>
        </w:rPr>
        <w:t xml:space="preserve">quan </w:t>
      </w:r>
      <w:r w:rsidRPr="009F7625">
        <w:rPr>
          <w:sz w:val="28"/>
          <w:szCs w:val="28"/>
        </w:rPr>
        <w:t xml:space="preserve">ngại </w:t>
      </w:r>
      <w:r w:rsidR="00C22127" w:rsidRPr="009F7625">
        <w:rPr>
          <w:sz w:val="28"/>
          <w:szCs w:val="28"/>
        </w:rPr>
        <w:t xml:space="preserve">đối với </w:t>
      </w:r>
      <w:r w:rsidRPr="009F7625">
        <w:rPr>
          <w:sz w:val="28"/>
          <w:szCs w:val="28"/>
        </w:rPr>
        <w:t>sức khỏe con người</w:t>
      </w:r>
      <w:r w:rsidR="00C22127" w:rsidRPr="009F7625">
        <w:rPr>
          <w:sz w:val="28"/>
          <w:szCs w:val="28"/>
        </w:rPr>
        <w:t>, sức khỏe</w:t>
      </w:r>
      <w:r w:rsidRPr="009F7625">
        <w:rPr>
          <w:sz w:val="28"/>
          <w:szCs w:val="28"/>
        </w:rPr>
        <w:t xml:space="preserve"> động vật hoặc môi trường, và ngoại trừ các hoạt chất mà</w:t>
      </w:r>
      <w:r w:rsidR="00C22127" w:rsidRPr="009F7625">
        <w:rPr>
          <w:sz w:val="28"/>
          <w:szCs w:val="28"/>
        </w:rPr>
        <w:t xml:space="preserve"> việc</w:t>
      </w:r>
      <w:r w:rsidRPr="009F7625">
        <w:rPr>
          <w:sz w:val="28"/>
          <w:szCs w:val="28"/>
        </w:rPr>
        <w:t xml:space="preserve"> giới hạn thời </w:t>
      </w:r>
      <w:r w:rsidR="00C22127" w:rsidRPr="009F7625">
        <w:rPr>
          <w:sz w:val="28"/>
          <w:szCs w:val="28"/>
        </w:rPr>
        <w:t xml:space="preserve">hạn </w:t>
      </w:r>
      <w:r w:rsidRPr="009F7625">
        <w:rPr>
          <w:sz w:val="28"/>
          <w:szCs w:val="28"/>
        </w:rPr>
        <w:t xml:space="preserve">phê duyệt được </w:t>
      </w:r>
      <w:r w:rsidR="00C22127" w:rsidRPr="009F7625">
        <w:rPr>
          <w:sz w:val="28"/>
          <w:szCs w:val="28"/>
        </w:rPr>
        <w:t xml:space="preserve">xem </w:t>
      </w:r>
      <w:r w:rsidRPr="009F7625">
        <w:rPr>
          <w:sz w:val="28"/>
          <w:szCs w:val="28"/>
        </w:rPr>
        <w:t xml:space="preserve">là cần thiết dựa trên kết quả đánh giá rủi ro được </w:t>
      </w:r>
      <w:r w:rsidR="00C22127" w:rsidRPr="009F7625">
        <w:rPr>
          <w:sz w:val="28"/>
          <w:szCs w:val="28"/>
        </w:rPr>
        <w:t>thực hiện trước khi ban hành quyết định phê duyệt</w:t>
      </w:r>
      <w:r w:rsidRPr="009F7625">
        <w:rPr>
          <w:sz w:val="28"/>
          <w:szCs w:val="28"/>
        </w:rPr>
        <w:t>. Việc phê duyệt các hoạt chất đã được phê duyệt</w:t>
      </w:r>
      <w:r w:rsidR="00C22127" w:rsidRPr="009F7625">
        <w:rPr>
          <w:sz w:val="28"/>
          <w:szCs w:val="28"/>
        </w:rPr>
        <w:t xml:space="preserve"> trước đó cần</w:t>
      </w:r>
      <w:r w:rsidRPr="009F7625">
        <w:rPr>
          <w:sz w:val="28"/>
          <w:szCs w:val="28"/>
        </w:rPr>
        <w:t xml:space="preserve"> được chuyển đổi thành phê duyệt không </w:t>
      </w:r>
      <w:r w:rsidR="00BB21BD" w:rsidRPr="009F7625">
        <w:rPr>
          <w:sz w:val="28"/>
          <w:szCs w:val="28"/>
        </w:rPr>
        <w:t xml:space="preserve">thời </w:t>
      </w:r>
      <w:r w:rsidRPr="009F7625">
        <w:rPr>
          <w:sz w:val="28"/>
          <w:szCs w:val="28"/>
        </w:rPr>
        <w:t xml:space="preserve">hạn theo các quy tắc mới này, ngoại trừ các hoạt chất được xác định là đáp ứng </w:t>
      </w:r>
      <w:r w:rsidR="00BB21BD" w:rsidRPr="009F7625">
        <w:rPr>
          <w:sz w:val="28"/>
          <w:szCs w:val="28"/>
        </w:rPr>
        <w:t xml:space="preserve">các </w:t>
      </w:r>
      <w:r w:rsidRPr="009F7625">
        <w:rPr>
          <w:sz w:val="28"/>
          <w:szCs w:val="28"/>
        </w:rPr>
        <w:t>tiêu chí loại trừ hoặc thay thế theo</w:t>
      </w:r>
      <w:r w:rsidR="00BB21BD" w:rsidRPr="009F7625">
        <w:rPr>
          <w:sz w:val="28"/>
          <w:szCs w:val="28"/>
        </w:rPr>
        <w:t xml:space="preserve"> Khoản 1</w:t>
      </w:r>
      <w:r w:rsidRPr="009F7625">
        <w:rPr>
          <w:sz w:val="28"/>
          <w:szCs w:val="28"/>
        </w:rPr>
        <w:t xml:space="preserve"> Điều 5 hoặc Điều 10 của Quy định </w:t>
      </w:r>
      <w:r w:rsidR="00BB21BD" w:rsidRPr="009F7625">
        <w:rPr>
          <w:sz w:val="28"/>
          <w:szCs w:val="28"/>
        </w:rPr>
        <w:t>này;</w:t>
      </w:r>
      <w:r w:rsidRPr="009F7625">
        <w:rPr>
          <w:sz w:val="28"/>
          <w:szCs w:val="28"/>
        </w:rPr>
        <w:t xml:space="preserve"> các hoạt chất mà </w:t>
      </w:r>
      <w:r w:rsidR="00BB21BD" w:rsidRPr="009F7625">
        <w:rPr>
          <w:sz w:val="28"/>
          <w:szCs w:val="28"/>
        </w:rPr>
        <w:t xml:space="preserve">quá trình </w:t>
      </w:r>
      <w:r w:rsidRPr="009F7625">
        <w:rPr>
          <w:sz w:val="28"/>
          <w:szCs w:val="28"/>
        </w:rPr>
        <w:t xml:space="preserve">xem xét gia hạn đã bắt đầu và cần tiếp tục </w:t>
      </w:r>
      <w:r w:rsidR="00BB21BD" w:rsidRPr="009F7625">
        <w:rPr>
          <w:sz w:val="28"/>
          <w:szCs w:val="28"/>
        </w:rPr>
        <w:t xml:space="preserve">thực hiện việc </w:t>
      </w:r>
      <w:r w:rsidRPr="009F7625">
        <w:rPr>
          <w:sz w:val="28"/>
          <w:szCs w:val="28"/>
        </w:rPr>
        <w:t>đánh giá gia hạn</w:t>
      </w:r>
      <w:r w:rsidR="00BB21BD" w:rsidRPr="009F7625">
        <w:rPr>
          <w:sz w:val="28"/>
          <w:szCs w:val="28"/>
        </w:rPr>
        <w:t>;</w:t>
      </w:r>
      <w:r w:rsidRPr="009F7625">
        <w:rPr>
          <w:sz w:val="28"/>
          <w:szCs w:val="28"/>
        </w:rPr>
        <w:t xml:space="preserve"> hoặc các hoạt chất mà việc phê duyệt sẽ hết hạn khi không có </w:t>
      </w:r>
      <w:r w:rsidR="00BB21BD" w:rsidRPr="009F7625">
        <w:rPr>
          <w:sz w:val="28"/>
          <w:szCs w:val="28"/>
        </w:rPr>
        <w:t>hồ sơ đề nghị</w:t>
      </w:r>
      <w:r w:rsidRPr="009F7625">
        <w:rPr>
          <w:sz w:val="28"/>
          <w:szCs w:val="28"/>
        </w:rPr>
        <w:t xml:space="preserve"> gia hạn nào được nộp trước thời hạn</w:t>
      </w:r>
      <w:r w:rsidR="00BB21BD" w:rsidRPr="009F7625">
        <w:rPr>
          <w:sz w:val="28"/>
          <w:szCs w:val="28"/>
        </w:rPr>
        <w:t xml:space="preserve"> quy định</w:t>
      </w:r>
      <w:r w:rsidRPr="009F7625">
        <w:rPr>
          <w:sz w:val="28"/>
          <w:szCs w:val="28"/>
        </w:rPr>
        <w:t>.</w:t>
      </w:r>
      <w:r w:rsidR="00BB21BD" w:rsidRPr="009F7625">
        <w:rPr>
          <w:sz w:val="28"/>
          <w:szCs w:val="28"/>
        </w:rPr>
        <w:t xml:space="preserve"> Đồng thời,cần </w:t>
      </w:r>
      <w:r w:rsidRPr="009F7625">
        <w:rPr>
          <w:sz w:val="28"/>
          <w:szCs w:val="28"/>
        </w:rPr>
        <w:t xml:space="preserve">dự </w:t>
      </w:r>
      <w:r w:rsidR="00BB21BD" w:rsidRPr="009F7625">
        <w:rPr>
          <w:sz w:val="28"/>
          <w:szCs w:val="28"/>
        </w:rPr>
        <w:t xml:space="preserve">liệu </w:t>
      </w:r>
      <w:r w:rsidRPr="009F7625">
        <w:rPr>
          <w:sz w:val="28"/>
          <w:szCs w:val="28"/>
        </w:rPr>
        <w:t>khả năng</w:t>
      </w:r>
      <w:r w:rsidR="00BB21BD" w:rsidRPr="009F7625">
        <w:rPr>
          <w:sz w:val="28"/>
          <w:szCs w:val="28"/>
        </w:rPr>
        <w:t xml:space="preserve"> để</w:t>
      </w:r>
      <w:r w:rsidRPr="009F7625">
        <w:rPr>
          <w:sz w:val="28"/>
          <w:szCs w:val="28"/>
        </w:rPr>
        <w:t xml:space="preserve"> Ủy ban định kỳ lựa chọn một số hoạt chất dựa trên các tiêu chí cụ thể</w:t>
      </w:r>
      <w:r w:rsidR="00BB21BD" w:rsidRPr="009F7625">
        <w:rPr>
          <w:sz w:val="28"/>
          <w:szCs w:val="28"/>
        </w:rPr>
        <w:t xml:space="preserve"> nhằm</w:t>
      </w:r>
      <w:r w:rsidRPr="009F7625">
        <w:rPr>
          <w:sz w:val="28"/>
          <w:szCs w:val="28"/>
        </w:rPr>
        <w:t xml:space="preserve"> kích hoạt </w:t>
      </w:r>
      <w:r w:rsidR="00BB21BD" w:rsidRPr="009F7625">
        <w:rPr>
          <w:sz w:val="28"/>
          <w:szCs w:val="28"/>
        </w:rPr>
        <w:t>thủ tục</w:t>
      </w:r>
      <w:r w:rsidRPr="009F7625">
        <w:rPr>
          <w:sz w:val="28"/>
          <w:szCs w:val="28"/>
        </w:rPr>
        <w:t xml:space="preserve"> gia hạn, </w:t>
      </w:r>
      <w:r w:rsidR="00BB21BD" w:rsidRPr="009F7625">
        <w:rPr>
          <w:sz w:val="28"/>
          <w:szCs w:val="28"/>
        </w:rPr>
        <w:t>song song</w:t>
      </w:r>
      <w:r w:rsidRPr="009F7625">
        <w:rPr>
          <w:sz w:val="28"/>
          <w:szCs w:val="28"/>
        </w:rPr>
        <w:t xml:space="preserve"> duy trì khả năng </w:t>
      </w:r>
      <w:r w:rsidR="00BB21BD" w:rsidRPr="009F7625">
        <w:rPr>
          <w:sz w:val="28"/>
          <w:szCs w:val="28"/>
        </w:rPr>
        <w:t>rà soát</w:t>
      </w:r>
      <w:r w:rsidRPr="009F7625">
        <w:rPr>
          <w:sz w:val="28"/>
          <w:szCs w:val="28"/>
        </w:rPr>
        <w:t xml:space="preserve"> sớm theo Điều 15 của Quy định (EU) số 528/2012. Các tiêu chí để lựa chọn hoạt chất </w:t>
      </w:r>
      <w:r w:rsidR="00BB21BD" w:rsidRPr="009F7625">
        <w:rPr>
          <w:sz w:val="28"/>
          <w:szCs w:val="28"/>
        </w:rPr>
        <w:t xml:space="preserve">thuộc diện </w:t>
      </w:r>
      <w:r w:rsidRPr="009F7625">
        <w:rPr>
          <w:sz w:val="28"/>
          <w:szCs w:val="28"/>
        </w:rPr>
        <w:t>phải trải qua quy trình gia hạn bao gồm, trong số những tiêu chí khác, các yêu cầu dữ liệu</w:t>
      </w:r>
      <w:r w:rsidR="00BB21BD" w:rsidRPr="009F7625">
        <w:rPr>
          <w:sz w:val="28"/>
          <w:szCs w:val="28"/>
        </w:rPr>
        <w:t xml:space="preserve"> hoặc tài liệu hướng dẫn</w:t>
      </w:r>
      <w:r w:rsidRPr="009F7625">
        <w:rPr>
          <w:sz w:val="28"/>
          <w:szCs w:val="28"/>
        </w:rPr>
        <w:t xml:space="preserve"> mới hoặc </w:t>
      </w:r>
      <w:r w:rsidR="00BB21BD" w:rsidRPr="009F7625">
        <w:rPr>
          <w:sz w:val="28"/>
          <w:szCs w:val="28"/>
        </w:rPr>
        <w:t xml:space="preserve">được </w:t>
      </w:r>
      <w:r w:rsidRPr="009F7625">
        <w:rPr>
          <w:sz w:val="28"/>
          <w:szCs w:val="28"/>
        </w:rPr>
        <w:t>cập nhật có liên quan,</w:t>
      </w:r>
      <w:r w:rsidR="00BB21BD" w:rsidRPr="009F7625">
        <w:rPr>
          <w:sz w:val="28"/>
          <w:szCs w:val="28"/>
        </w:rPr>
        <w:t xml:space="preserve"> các</w:t>
      </w:r>
      <w:r w:rsidRPr="009F7625">
        <w:rPr>
          <w:sz w:val="28"/>
          <w:szCs w:val="28"/>
        </w:rPr>
        <w:t xml:space="preserve"> dấu hiệu </w:t>
      </w:r>
      <w:r w:rsidR="00BB21BD" w:rsidRPr="009F7625">
        <w:rPr>
          <w:sz w:val="28"/>
          <w:szCs w:val="28"/>
        </w:rPr>
        <w:t xml:space="preserve">quan </w:t>
      </w:r>
      <w:r w:rsidRPr="009F7625">
        <w:rPr>
          <w:sz w:val="28"/>
          <w:szCs w:val="28"/>
        </w:rPr>
        <w:t xml:space="preserve">ngại </w:t>
      </w:r>
      <w:r w:rsidR="00BB21BD" w:rsidRPr="009F7625">
        <w:rPr>
          <w:sz w:val="28"/>
          <w:szCs w:val="28"/>
        </w:rPr>
        <w:lastRenderedPageBreak/>
        <w:t xml:space="preserve">về </w:t>
      </w:r>
      <w:r w:rsidRPr="009F7625">
        <w:rPr>
          <w:sz w:val="28"/>
          <w:szCs w:val="28"/>
        </w:rPr>
        <w:t>an toàn đối với sức khỏe con người</w:t>
      </w:r>
      <w:r w:rsidR="00BB21BD" w:rsidRPr="009F7625">
        <w:rPr>
          <w:sz w:val="28"/>
          <w:szCs w:val="28"/>
        </w:rPr>
        <w:t>, sức khỏe</w:t>
      </w:r>
      <w:r w:rsidRPr="009F7625">
        <w:rPr>
          <w:sz w:val="28"/>
          <w:szCs w:val="28"/>
        </w:rPr>
        <w:t xml:space="preserve"> động vật hoặc môi trường, </w:t>
      </w:r>
      <w:r w:rsidR="00BB21BD" w:rsidRPr="009F7625">
        <w:rPr>
          <w:sz w:val="28"/>
          <w:szCs w:val="28"/>
        </w:rPr>
        <w:t xml:space="preserve">các </w:t>
      </w:r>
      <w:r w:rsidRPr="009F7625">
        <w:rPr>
          <w:sz w:val="28"/>
          <w:szCs w:val="28"/>
        </w:rPr>
        <w:t>kiến thức khoa học hoặc kỹ thuật mới</w:t>
      </w:r>
      <w:r w:rsidR="00BB21BD" w:rsidRPr="009F7625">
        <w:rPr>
          <w:sz w:val="28"/>
          <w:szCs w:val="28"/>
        </w:rPr>
        <w:t>,</w:t>
      </w:r>
      <w:r w:rsidRPr="009F7625">
        <w:rPr>
          <w:sz w:val="28"/>
          <w:szCs w:val="28"/>
        </w:rPr>
        <w:t xml:space="preserve"> dữ liệu giám sát sẵn có, và có thể </w:t>
      </w:r>
      <w:r w:rsidR="00BB21BD" w:rsidRPr="009F7625">
        <w:rPr>
          <w:sz w:val="28"/>
          <w:szCs w:val="28"/>
        </w:rPr>
        <w:t>xem xét cả</w:t>
      </w:r>
      <w:r w:rsidRPr="009F7625">
        <w:rPr>
          <w:sz w:val="28"/>
          <w:szCs w:val="28"/>
        </w:rPr>
        <w:t xml:space="preserve"> các yêu cầu từ các </w:t>
      </w:r>
      <w:r w:rsidR="00BB21BD" w:rsidRPr="009F7625">
        <w:rPr>
          <w:sz w:val="28"/>
          <w:szCs w:val="28"/>
        </w:rPr>
        <w:t xml:space="preserve">quốc </w:t>
      </w:r>
      <w:r w:rsidRPr="009F7625">
        <w:rPr>
          <w:sz w:val="28"/>
          <w:szCs w:val="28"/>
        </w:rPr>
        <w:t xml:space="preserve">gia </w:t>
      </w:r>
      <w:r w:rsidR="00BB21BD" w:rsidRPr="009F7625">
        <w:rPr>
          <w:sz w:val="28"/>
          <w:szCs w:val="28"/>
        </w:rPr>
        <w:t xml:space="preserve">thành </w:t>
      </w:r>
      <w:r w:rsidRPr="009F7625">
        <w:rPr>
          <w:sz w:val="28"/>
          <w:szCs w:val="28"/>
        </w:rPr>
        <w:t>viên.</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35</w:t>
      </w:r>
      <w:r w:rsidR="00727C11" w:rsidRPr="009F7625">
        <w:rPr>
          <w:sz w:val="28"/>
          <w:szCs w:val="28"/>
        </w:rPr>
        <w:t xml:space="preserve">. </w:t>
      </w:r>
      <w:r w:rsidR="00BB21BD" w:rsidRPr="009F7625">
        <w:rPr>
          <w:sz w:val="28"/>
          <w:szCs w:val="28"/>
        </w:rPr>
        <w:t xml:space="preserve">Nhằm </w:t>
      </w:r>
      <w:r w:rsidRPr="009F7625">
        <w:rPr>
          <w:sz w:val="28"/>
          <w:szCs w:val="28"/>
        </w:rPr>
        <w:t xml:space="preserve">đơn giản hóa và đẩy nhanhthủ tục </w:t>
      </w:r>
      <w:r w:rsidR="00BB21BD" w:rsidRPr="009F7625">
        <w:rPr>
          <w:sz w:val="28"/>
          <w:szCs w:val="28"/>
        </w:rPr>
        <w:t>ban hành</w:t>
      </w:r>
      <w:r w:rsidRPr="009F7625">
        <w:rPr>
          <w:sz w:val="28"/>
          <w:szCs w:val="28"/>
        </w:rPr>
        <w:t xml:space="preserve"> và công bố các quyết định </w:t>
      </w:r>
      <w:r w:rsidR="00BB21BD" w:rsidRPr="009F7625">
        <w:rPr>
          <w:sz w:val="28"/>
          <w:szCs w:val="28"/>
        </w:rPr>
        <w:t>liên quan đến hồ sơ đề nghị</w:t>
      </w:r>
      <w:r w:rsidRPr="009F7625">
        <w:rPr>
          <w:sz w:val="28"/>
          <w:szCs w:val="28"/>
        </w:rPr>
        <w:t xml:space="preserve"> cấp phép </w:t>
      </w:r>
      <w:r w:rsidR="00BB21BD" w:rsidRPr="009F7625">
        <w:rPr>
          <w:sz w:val="28"/>
          <w:szCs w:val="28"/>
        </w:rPr>
        <w:t xml:space="preserve">của </w:t>
      </w:r>
      <w:r w:rsidRPr="009F7625">
        <w:rPr>
          <w:sz w:val="28"/>
          <w:szCs w:val="28"/>
        </w:rPr>
        <w:t xml:space="preserve">Liên minh </w:t>
      </w:r>
      <w:r w:rsidR="00BB21BD" w:rsidRPr="009F7625">
        <w:rPr>
          <w:sz w:val="28"/>
          <w:szCs w:val="28"/>
        </w:rPr>
        <w:t xml:space="preserve">đối với các sản phẩm diệt khuẩn </w:t>
      </w:r>
      <w:r w:rsidRPr="009F7625">
        <w:rPr>
          <w:sz w:val="28"/>
          <w:szCs w:val="28"/>
        </w:rPr>
        <w:t xml:space="preserve">được nộp theo Chương VIII của Quy định (EU) số 528/2012, các quyết định riêng lẻ </w:t>
      </w:r>
      <w:r w:rsidR="00BB21BD" w:rsidRPr="009F7625">
        <w:rPr>
          <w:sz w:val="28"/>
          <w:szCs w:val="28"/>
        </w:rPr>
        <w:t xml:space="preserve">này </w:t>
      </w:r>
      <w:r w:rsidRPr="009F7625">
        <w:rPr>
          <w:sz w:val="28"/>
          <w:szCs w:val="28"/>
        </w:rPr>
        <w:t>không còn</w:t>
      </w:r>
      <w:r w:rsidR="00BB21BD" w:rsidRPr="009F7625">
        <w:rPr>
          <w:sz w:val="28"/>
          <w:szCs w:val="28"/>
        </w:rPr>
        <w:t xml:space="preserve"> được ban hành dưới hình thức</w:t>
      </w:r>
      <w:r w:rsidRPr="009F7625">
        <w:rPr>
          <w:sz w:val="28"/>
          <w:szCs w:val="28"/>
        </w:rPr>
        <w:t xml:space="preserve"> Quy định thực thi của Ủy ban và được công bố trên Công báo </w:t>
      </w:r>
      <w:r w:rsidR="00BB21BD" w:rsidRPr="009F7625">
        <w:rPr>
          <w:sz w:val="28"/>
          <w:szCs w:val="28"/>
        </w:rPr>
        <w:t>của Liên minh</w:t>
      </w:r>
      <w:r w:rsidR="00ED7AEF" w:rsidRPr="009F7625">
        <w:rPr>
          <w:sz w:val="28"/>
          <w:szCs w:val="28"/>
        </w:rPr>
        <w:t xml:space="preserve">. Thay vào đó, các văn bản này </w:t>
      </w:r>
      <w:r w:rsidR="00BB21BD" w:rsidRPr="009F7625">
        <w:rPr>
          <w:sz w:val="28"/>
          <w:szCs w:val="28"/>
        </w:rPr>
        <w:t>sẽ được ban hành dưới hình thức</w:t>
      </w:r>
      <w:r w:rsidRPr="009F7625">
        <w:rPr>
          <w:sz w:val="28"/>
          <w:szCs w:val="28"/>
        </w:rPr>
        <w:t xml:space="preserve"> Quyết định thực thi của Ủy ban</w:t>
      </w:r>
      <w:r w:rsidR="00BB21BD" w:rsidRPr="009F7625">
        <w:rPr>
          <w:sz w:val="28"/>
          <w:szCs w:val="28"/>
        </w:rPr>
        <w:t xml:space="preserve"> để</w:t>
      </w:r>
      <w:r w:rsidRPr="009F7625">
        <w:rPr>
          <w:sz w:val="28"/>
          <w:szCs w:val="28"/>
        </w:rPr>
        <w:t xml:space="preserve"> thông báo cho </w:t>
      </w:r>
      <w:r w:rsidR="00BB21BD" w:rsidRPr="009F7625">
        <w:rPr>
          <w:sz w:val="28"/>
          <w:szCs w:val="28"/>
        </w:rPr>
        <w:t xml:space="preserve">người </w:t>
      </w:r>
      <w:r w:rsidRPr="009F7625">
        <w:rPr>
          <w:sz w:val="28"/>
          <w:szCs w:val="28"/>
        </w:rPr>
        <w:t>nộp đơn</w:t>
      </w:r>
      <w:r w:rsidR="00BB21BD" w:rsidRPr="009F7625">
        <w:rPr>
          <w:sz w:val="28"/>
          <w:szCs w:val="28"/>
        </w:rPr>
        <w:t>; đồng thời</w:t>
      </w:r>
      <w:r w:rsidRPr="009F7625">
        <w:rPr>
          <w:sz w:val="28"/>
          <w:szCs w:val="28"/>
        </w:rPr>
        <w:t xml:space="preserve"> chỉ</w:t>
      </w:r>
      <w:r w:rsidR="00BB21BD" w:rsidRPr="009F7625">
        <w:rPr>
          <w:sz w:val="28"/>
          <w:szCs w:val="28"/>
        </w:rPr>
        <w:t xml:space="preserve"> các bản</w:t>
      </w:r>
      <w:r w:rsidRPr="009F7625">
        <w:rPr>
          <w:sz w:val="28"/>
          <w:szCs w:val="28"/>
        </w:rPr>
        <w:t xml:space="preserve"> tóm tắt</w:t>
      </w:r>
      <w:r w:rsidR="00BB21BD" w:rsidRPr="009F7625">
        <w:rPr>
          <w:sz w:val="28"/>
          <w:szCs w:val="28"/>
        </w:rPr>
        <w:t xml:space="preserve"> của</w:t>
      </w:r>
      <w:r w:rsidRPr="009F7625">
        <w:rPr>
          <w:sz w:val="28"/>
          <w:szCs w:val="28"/>
        </w:rPr>
        <w:t xml:space="preserve"> các Quyết định </w:t>
      </w:r>
      <w:r w:rsidR="00BB21BD" w:rsidRPr="009F7625">
        <w:rPr>
          <w:sz w:val="28"/>
          <w:szCs w:val="28"/>
        </w:rPr>
        <w:t>này mới được</w:t>
      </w:r>
      <w:r w:rsidRPr="009F7625">
        <w:rPr>
          <w:sz w:val="28"/>
          <w:szCs w:val="28"/>
        </w:rPr>
        <w:t xml:space="preserve"> công bố trên Công </w:t>
      </w:r>
      <w:r w:rsidR="00BB21BD" w:rsidRPr="009F7625">
        <w:rPr>
          <w:sz w:val="28"/>
          <w:szCs w:val="28"/>
        </w:rPr>
        <w:t>báo của Liên minh nhằm bảo đảm tính</w:t>
      </w:r>
      <w:r w:rsidRPr="009F7625">
        <w:rPr>
          <w:sz w:val="28"/>
          <w:szCs w:val="28"/>
        </w:rPr>
        <w:t xml:space="preserve"> minh bạch.</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36</w:t>
      </w:r>
      <w:r w:rsidR="00727C11" w:rsidRPr="009F7625">
        <w:rPr>
          <w:sz w:val="28"/>
          <w:szCs w:val="28"/>
        </w:rPr>
        <w:t>.</w:t>
      </w:r>
      <w:r w:rsidRPr="009F7625">
        <w:rPr>
          <w:sz w:val="28"/>
          <w:szCs w:val="28"/>
        </w:rPr>
        <w:t xml:space="preserve"> Quy định (EC) số 1829/2003</w:t>
      </w:r>
      <w:r w:rsidR="00ED7AEF" w:rsidRPr="009F7625">
        <w:rPr>
          <w:sz w:val="28"/>
          <w:szCs w:val="28"/>
        </w:rPr>
        <w:t xml:space="preserve"> áp dụng đối với</w:t>
      </w:r>
      <w:r w:rsidRPr="009F7625">
        <w:rPr>
          <w:sz w:val="28"/>
          <w:szCs w:val="28"/>
        </w:rPr>
        <w:t xml:space="preserve"> thực phẩm và thức ăn chăn nuôi được sản xuất từ</w:t>
      </w:r>
      <w:r w:rsidR="00ED7AEF" w:rsidRPr="009F7625">
        <w:rPr>
          <w:sz w:val="28"/>
          <w:szCs w:val="28"/>
        </w:rPr>
        <w:t xml:space="preserve"> sinh vật biến đổi gen (</w:t>
      </w:r>
      <w:r w:rsidRPr="009F7625">
        <w:rPr>
          <w:sz w:val="28"/>
          <w:szCs w:val="28"/>
        </w:rPr>
        <w:t>GMO</w:t>
      </w:r>
      <w:r w:rsidR="00ED7AEF" w:rsidRPr="009F7625">
        <w:rPr>
          <w:sz w:val="28"/>
          <w:szCs w:val="28"/>
        </w:rPr>
        <w:t>)</w:t>
      </w:r>
      <w:r w:rsidRPr="009F7625">
        <w:rPr>
          <w:sz w:val="28"/>
          <w:szCs w:val="28"/>
        </w:rPr>
        <w:t xml:space="preserve"> nhưng không </w:t>
      </w:r>
      <w:r w:rsidR="00ED7AEF" w:rsidRPr="009F7625">
        <w:rPr>
          <w:sz w:val="28"/>
          <w:szCs w:val="28"/>
        </w:rPr>
        <w:t>áp dụng cho</w:t>
      </w:r>
      <w:r w:rsidRPr="009F7625">
        <w:rPr>
          <w:sz w:val="28"/>
          <w:szCs w:val="28"/>
        </w:rPr>
        <w:t xml:space="preserve"> thực phẩm và thức ăn chăn nuôi được sản xuất với GMO. Về vấn đề này, </w:t>
      </w:r>
      <w:r w:rsidR="00ED7AEF" w:rsidRPr="009F7625">
        <w:rPr>
          <w:sz w:val="28"/>
          <w:szCs w:val="28"/>
        </w:rPr>
        <w:t xml:space="preserve">Mục </w:t>
      </w:r>
      <w:r w:rsidRPr="009F7625">
        <w:rPr>
          <w:sz w:val="28"/>
          <w:szCs w:val="28"/>
        </w:rPr>
        <w:t xml:space="preserve">16 của Quy định </w:t>
      </w:r>
      <w:r w:rsidR="00ED7AEF" w:rsidRPr="009F7625">
        <w:rPr>
          <w:sz w:val="28"/>
          <w:szCs w:val="28"/>
        </w:rPr>
        <w:t xml:space="preserve">nêu rõ rằng </w:t>
      </w:r>
      <w:r w:rsidRPr="009F7625">
        <w:rPr>
          <w:sz w:val="28"/>
          <w:szCs w:val="28"/>
        </w:rPr>
        <w:t xml:space="preserve">Quy định không áp dụng </w:t>
      </w:r>
      <w:r w:rsidR="00ED7AEF" w:rsidRPr="009F7625">
        <w:rPr>
          <w:sz w:val="28"/>
          <w:szCs w:val="28"/>
        </w:rPr>
        <w:t xml:space="preserve">đối với </w:t>
      </w:r>
      <w:r w:rsidRPr="009F7625">
        <w:rPr>
          <w:sz w:val="28"/>
          <w:szCs w:val="28"/>
        </w:rPr>
        <w:t xml:space="preserve">các chất hỗ trợ chế biến (processing aids), </w:t>
      </w:r>
      <w:r w:rsidR="00ED7AEF" w:rsidRPr="009F7625">
        <w:rPr>
          <w:sz w:val="28"/>
          <w:szCs w:val="28"/>
        </w:rPr>
        <w:t xml:space="preserve">cũng như </w:t>
      </w:r>
      <w:r w:rsidRPr="009F7625">
        <w:rPr>
          <w:sz w:val="28"/>
          <w:szCs w:val="28"/>
        </w:rPr>
        <w:t xml:space="preserve">đối với thực phẩm và thức ăn chăn nuôi được sản xuất với sự </w:t>
      </w:r>
      <w:r w:rsidR="00ED7AEF" w:rsidRPr="009F7625">
        <w:rPr>
          <w:sz w:val="28"/>
          <w:szCs w:val="28"/>
        </w:rPr>
        <w:t>hỗ trợ</w:t>
      </w:r>
      <w:r w:rsidRPr="009F7625">
        <w:rPr>
          <w:sz w:val="28"/>
          <w:szCs w:val="28"/>
        </w:rPr>
        <w:t xml:space="preserve"> của chất hỗ trợ chế biến biến đổi gen. Tuy nhiên, phạm vi của Quy định (EC) số 1829/2003 </w:t>
      </w:r>
      <w:r w:rsidR="00ED7AEF" w:rsidRPr="009F7625">
        <w:rPr>
          <w:sz w:val="28"/>
          <w:szCs w:val="28"/>
        </w:rPr>
        <w:t xml:space="preserve">đối với </w:t>
      </w:r>
      <w:r w:rsidRPr="009F7625">
        <w:rPr>
          <w:sz w:val="28"/>
          <w:szCs w:val="28"/>
        </w:rPr>
        <w:t xml:space="preserve">các sản phẩm thực phẩm và thức ăn chăn nuôi thu được </w:t>
      </w:r>
      <w:r w:rsidR="00ED7AEF" w:rsidRPr="009F7625">
        <w:rPr>
          <w:sz w:val="28"/>
          <w:szCs w:val="28"/>
        </w:rPr>
        <w:t>từ việc</w:t>
      </w:r>
      <w:r w:rsidRPr="009F7625">
        <w:rPr>
          <w:sz w:val="28"/>
          <w:szCs w:val="28"/>
        </w:rPr>
        <w:t xml:space="preserve"> sử dụng vi sinh vật biến đổi gen (GMM) làm chủng sản xuất là </w:t>
      </w:r>
      <w:r w:rsidR="00ED7AEF" w:rsidRPr="009F7625">
        <w:rPr>
          <w:sz w:val="28"/>
          <w:szCs w:val="28"/>
        </w:rPr>
        <w:t xml:space="preserve">chưa </w:t>
      </w:r>
      <w:r w:rsidRPr="009F7625">
        <w:rPr>
          <w:sz w:val="28"/>
          <w:szCs w:val="28"/>
        </w:rPr>
        <w:t>rõ ràng</w:t>
      </w:r>
      <w:r w:rsidR="00ED7AEF" w:rsidRPr="009F7625">
        <w:rPr>
          <w:sz w:val="28"/>
          <w:szCs w:val="28"/>
        </w:rPr>
        <w:t>;</w:t>
      </w:r>
      <w:r w:rsidR="001A6BED" w:rsidRPr="009F7625">
        <w:rPr>
          <w:sz w:val="28"/>
          <w:szCs w:val="28"/>
        </w:rPr>
        <w:t xml:space="preserve"> </w:t>
      </w:r>
      <w:r w:rsidR="00ED7AEF" w:rsidRPr="009F7625">
        <w:rPr>
          <w:sz w:val="28"/>
          <w:szCs w:val="28"/>
        </w:rPr>
        <w:t>bởi vì</w:t>
      </w:r>
      <w:r w:rsidRPr="009F7625">
        <w:rPr>
          <w:sz w:val="28"/>
          <w:szCs w:val="28"/>
        </w:rPr>
        <w:t xml:space="preserve"> một mặt</w:t>
      </w:r>
      <w:r w:rsidR="00ED7AEF" w:rsidRPr="009F7625">
        <w:rPr>
          <w:sz w:val="28"/>
          <w:szCs w:val="28"/>
        </w:rPr>
        <w:t>, Mục</w:t>
      </w:r>
      <w:r w:rsidRPr="009F7625">
        <w:rPr>
          <w:sz w:val="28"/>
          <w:szCs w:val="28"/>
        </w:rPr>
        <w:t xml:space="preserve"> 16 của Quy định nêu rõ tiêu chí </w:t>
      </w:r>
      <w:r w:rsidR="00ED7AEF" w:rsidRPr="009F7625">
        <w:rPr>
          <w:sz w:val="28"/>
          <w:szCs w:val="28"/>
        </w:rPr>
        <w:t>phân biệt</w:t>
      </w:r>
      <w:r w:rsidRPr="009F7625">
        <w:rPr>
          <w:sz w:val="28"/>
          <w:szCs w:val="28"/>
        </w:rPr>
        <w:t xml:space="preserve"> giữa thực phẩm và thức ăn chăn nuôi được sản xuất 'từ' hoặc 'với' GMO là </w:t>
      </w:r>
      <w:r w:rsidR="00ED7AEF" w:rsidRPr="009F7625">
        <w:rPr>
          <w:sz w:val="28"/>
          <w:szCs w:val="28"/>
        </w:rPr>
        <w:t xml:space="preserve">việc </w:t>
      </w:r>
      <w:r w:rsidRPr="009F7625">
        <w:rPr>
          <w:sz w:val="28"/>
          <w:szCs w:val="28"/>
        </w:rPr>
        <w:t>liệu vật liệu có nguồn gốc từ nguyên liệu nguồn biến đổi gen có hiện diện trong thực phẩm hoặc thức ăn chăn nuôi hay không</w:t>
      </w:r>
      <w:r w:rsidR="00ED7AEF" w:rsidRPr="009F7625">
        <w:rPr>
          <w:sz w:val="28"/>
          <w:szCs w:val="28"/>
        </w:rPr>
        <w:t>.</w:t>
      </w:r>
      <w:r w:rsidR="00191A96" w:rsidRPr="009F7625">
        <w:rPr>
          <w:sz w:val="28"/>
          <w:szCs w:val="28"/>
        </w:rPr>
        <w:t xml:space="preserve"> </w:t>
      </w:r>
      <w:r w:rsidR="00ED7AEF" w:rsidRPr="009F7625">
        <w:rPr>
          <w:sz w:val="28"/>
          <w:szCs w:val="28"/>
        </w:rPr>
        <w:t>Mặt khác, theo định nghĩa “chất hỗ trợ chế biến” trong pháp luật của Liên minh về thực phẩm và thức ăn chăn nuôi, trong một số trường hợp nhất định vẫn có thể tồn tại trong sản phẩm cuối cùng các dư lượng của chất đó hoặc các dẫn xuất của chúng</w:t>
      </w:r>
      <w:r w:rsidRPr="009F7625">
        <w:rPr>
          <w:sz w:val="28"/>
          <w:szCs w:val="28"/>
        </w:rPr>
        <w:t xml:space="preserve">. </w:t>
      </w:r>
      <w:r w:rsidR="00ED7AEF" w:rsidRPr="009F7625">
        <w:rPr>
          <w:sz w:val="28"/>
          <w:szCs w:val="28"/>
        </w:rPr>
        <w:t>Ngoài ra, sự gia tăng độ nhạy của các phương pháp phát hiện dẫn đến hệ quả là các sản phẩm thực phẩm và thức ăn chăn nuôi trước đây được coi là không chứa dư lượng của GMM và đã lưu thông trên thị trường như các sản phẩm thông thường trong nhiều năm, đến một thời điểm nào đó có thể bị coi là có chứa các dư lượng như vậy.</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37</w:t>
      </w:r>
      <w:r w:rsidR="00727C11" w:rsidRPr="009F7625">
        <w:rPr>
          <w:sz w:val="28"/>
          <w:szCs w:val="28"/>
        </w:rPr>
        <w:t>.</w:t>
      </w:r>
      <w:r w:rsidRPr="009F7625">
        <w:rPr>
          <w:sz w:val="28"/>
          <w:szCs w:val="28"/>
        </w:rPr>
        <w:t xml:space="preserve"> Do đó, để đảm bảo </w:t>
      </w:r>
      <w:r w:rsidR="00ED7AEF" w:rsidRPr="009F7625">
        <w:rPr>
          <w:sz w:val="28"/>
          <w:szCs w:val="28"/>
        </w:rPr>
        <w:t xml:space="preserve">sự vận hành hiệu quả của </w:t>
      </w:r>
      <w:r w:rsidRPr="009F7625">
        <w:rPr>
          <w:sz w:val="28"/>
          <w:szCs w:val="28"/>
        </w:rPr>
        <w:t>thị trường nội khối và</w:t>
      </w:r>
      <w:r w:rsidR="00ED7AEF" w:rsidRPr="009F7625">
        <w:rPr>
          <w:sz w:val="28"/>
          <w:szCs w:val="28"/>
        </w:rPr>
        <w:t xml:space="preserve"> tạosự</w:t>
      </w:r>
      <w:r w:rsidRPr="009F7625">
        <w:rPr>
          <w:sz w:val="28"/>
          <w:szCs w:val="28"/>
        </w:rPr>
        <w:t xml:space="preserve"> chắc chắn về mặt pháp lý cho</w:t>
      </w:r>
      <w:r w:rsidR="00A921D2" w:rsidRPr="009F7625">
        <w:rPr>
          <w:sz w:val="28"/>
          <w:szCs w:val="28"/>
        </w:rPr>
        <w:t xml:space="preserve"> cáccơ sở kinh doanh thực phẩm</w:t>
      </w:r>
      <w:r w:rsidRPr="009F7625">
        <w:rPr>
          <w:sz w:val="28"/>
          <w:szCs w:val="28"/>
        </w:rPr>
        <w:t xml:space="preserve"> và thức ăn chăn nuôi, các sản phẩm thực phẩm và thức ăn chăn nuôi được</w:t>
      </w:r>
      <w:r w:rsidR="00A921D2" w:rsidRPr="009F7625">
        <w:rPr>
          <w:sz w:val="28"/>
          <w:szCs w:val="28"/>
        </w:rPr>
        <w:t xml:space="preserve"> sản xuất</w:t>
      </w:r>
      <w:r w:rsidRPr="009F7625">
        <w:rPr>
          <w:sz w:val="28"/>
          <w:szCs w:val="28"/>
        </w:rPr>
        <w:t xml:space="preserve"> bằng cách sử dụng </w:t>
      </w:r>
      <w:r w:rsidR="00A921D2" w:rsidRPr="009F7625">
        <w:rPr>
          <w:sz w:val="28"/>
          <w:szCs w:val="28"/>
        </w:rPr>
        <w:t>vi sinh vật biến đổi gen (</w:t>
      </w:r>
      <w:r w:rsidRPr="009F7625">
        <w:rPr>
          <w:sz w:val="28"/>
          <w:szCs w:val="28"/>
        </w:rPr>
        <w:t>GMM</w:t>
      </w:r>
      <w:r w:rsidR="00A921D2" w:rsidRPr="009F7625">
        <w:rPr>
          <w:sz w:val="28"/>
          <w:szCs w:val="28"/>
        </w:rPr>
        <w:t>)</w:t>
      </w:r>
      <w:r w:rsidRPr="009F7625">
        <w:rPr>
          <w:sz w:val="28"/>
          <w:szCs w:val="28"/>
        </w:rPr>
        <w:t xml:space="preserve"> làm chủng sản xuất và </w:t>
      </w:r>
      <w:r w:rsidR="00A921D2" w:rsidRPr="009F7625">
        <w:rPr>
          <w:sz w:val="28"/>
          <w:szCs w:val="28"/>
        </w:rPr>
        <w:t xml:space="preserve">trong đó </w:t>
      </w:r>
      <w:r w:rsidRPr="009F7625">
        <w:rPr>
          <w:sz w:val="28"/>
          <w:szCs w:val="28"/>
        </w:rPr>
        <w:t xml:space="preserve">GMM </w:t>
      </w:r>
      <w:r w:rsidR="00A921D2" w:rsidRPr="009F7625">
        <w:rPr>
          <w:sz w:val="28"/>
          <w:szCs w:val="28"/>
        </w:rPr>
        <w:t>đã được loại bỏ khỏi sản phẩm cuối cùng không thuộc phạm vi đ</w:t>
      </w:r>
      <w:r w:rsidRPr="009F7625">
        <w:rPr>
          <w:sz w:val="28"/>
          <w:szCs w:val="28"/>
        </w:rPr>
        <w:t>iều chỉnh của Quy định (EC) số 1829/2003</w:t>
      </w:r>
      <w:r w:rsidR="00A921D2" w:rsidRPr="009F7625">
        <w:rPr>
          <w:sz w:val="28"/>
          <w:szCs w:val="28"/>
        </w:rPr>
        <w:t>,</w:t>
      </w:r>
      <w:r w:rsidRPr="009F7625">
        <w:rPr>
          <w:sz w:val="28"/>
          <w:szCs w:val="28"/>
        </w:rPr>
        <w:t xml:space="preserve"> ngay cả khi </w:t>
      </w:r>
      <w:r w:rsidR="00A921D2" w:rsidRPr="009F7625">
        <w:rPr>
          <w:sz w:val="28"/>
          <w:szCs w:val="28"/>
        </w:rPr>
        <w:t xml:space="preserve">trong thực phẩm hoặc thức ăn chăn nuôi vẫn còn tồn tại dư lượng của GMM, với điều kiện các dư lượng này chỉ bao gồm các tế bào không còn khả năng sống, sự hiện diện của chúng đã được giảm thiểu thông qua các nỗ lực hợp lý nhằm loại bỏ và chúng không gây ra bất kỳ tác động </w:t>
      </w:r>
      <w:r w:rsidR="00A921D2" w:rsidRPr="009F7625">
        <w:rPr>
          <w:spacing w:val="-2"/>
          <w:sz w:val="28"/>
          <w:szCs w:val="28"/>
        </w:rPr>
        <w:t>công nghệ nào đối với sản phẩm thực phẩm hoặc thức ăn chăn nuôi cuối cùng</w:t>
      </w:r>
      <w:r w:rsidRPr="009F7625">
        <w:rPr>
          <w:spacing w:val="-2"/>
          <w:sz w:val="28"/>
          <w:szCs w:val="28"/>
        </w:rPr>
        <w:t xml:space="preserve">. </w:t>
      </w:r>
      <w:r w:rsidR="00A921D2" w:rsidRPr="009F7625">
        <w:rPr>
          <w:spacing w:val="-2"/>
          <w:sz w:val="28"/>
          <w:szCs w:val="28"/>
        </w:rPr>
        <w:t xml:space="preserve">Cụ thể, để bảo đảm rằng các nỗ lực hợp lý nhằm loại bỏ dư lượng đã được thực hiện, cần yêu cầu các biện pháp này phải được tiến hành phù hợp với thực hành sản xuất </w:t>
      </w:r>
      <w:r w:rsidR="00A921D2" w:rsidRPr="009F7625">
        <w:rPr>
          <w:spacing w:val="-2"/>
          <w:sz w:val="28"/>
          <w:szCs w:val="28"/>
        </w:rPr>
        <w:lastRenderedPageBreak/>
        <w:t>tốt (GMP), tương tự như đối với các sản phẩm thực phẩm và thức ăn chăn nuôi tương tự nhằm giảm thiểu sự hiện diện của các dư lượng.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38</w:t>
      </w:r>
      <w:r w:rsidR="00727C11" w:rsidRPr="009F7625">
        <w:rPr>
          <w:sz w:val="28"/>
          <w:szCs w:val="28"/>
        </w:rPr>
        <w:t>.</w:t>
      </w:r>
      <w:r w:rsidRPr="009F7625">
        <w:rPr>
          <w:sz w:val="28"/>
          <w:szCs w:val="28"/>
        </w:rPr>
        <w:t xml:space="preserve"> Việc</w:t>
      </w:r>
      <w:r w:rsidR="00A921D2" w:rsidRPr="009F7625">
        <w:rPr>
          <w:sz w:val="28"/>
          <w:szCs w:val="28"/>
        </w:rPr>
        <w:t xml:space="preserve"> dẫn</w:t>
      </w:r>
      <w:r w:rsidRPr="009F7625">
        <w:rPr>
          <w:sz w:val="28"/>
          <w:szCs w:val="28"/>
        </w:rPr>
        <w:t xml:space="preserve"> chiếu đến </w:t>
      </w:r>
      <w:r w:rsidR="00A921D2" w:rsidRPr="009F7625">
        <w:rPr>
          <w:sz w:val="28"/>
          <w:szCs w:val="28"/>
        </w:rPr>
        <w:t>vi sinh vật biến đổi gen (</w:t>
      </w:r>
      <w:r w:rsidRPr="009F7625">
        <w:rPr>
          <w:sz w:val="28"/>
          <w:szCs w:val="28"/>
        </w:rPr>
        <w:t>GMM</w:t>
      </w:r>
      <w:r w:rsidR="00A921D2" w:rsidRPr="009F7625">
        <w:rPr>
          <w:sz w:val="28"/>
          <w:szCs w:val="28"/>
        </w:rPr>
        <w:t>)</w:t>
      </w:r>
      <w:r w:rsidRPr="009F7625">
        <w:rPr>
          <w:sz w:val="28"/>
          <w:szCs w:val="28"/>
        </w:rPr>
        <w:t xml:space="preserve"> trong định nghĩa '</w:t>
      </w:r>
      <w:r w:rsidR="00A921D2" w:rsidRPr="009F7625">
        <w:rPr>
          <w:sz w:val="28"/>
          <w:szCs w:val="28"/>
        </w:rPr>
        <w:t xml:space="preserve">được </w:t>
      </w:r>
      <w:r w:rsidRPr="009F7625">
        <w:rPr>
          <w:sz w:val="28"/>
          <w:szCs w:val="28"/>
        </w:rPr>
        <w:t xml:space="preserve">sản xuất từ GMO' </w:t>
      </w:r>
      <w:r w:rsidR="00A921D2" w:rsidRPr="009F7625">
        <w:rPr>
          <w:sz w:val="28"/>
          <w:szCs w:val="28"/>
        </w:rPr>
        <w:t>cần được hiểu theo</w:t>
      </w:r>
      <w:r w:rsidRPr="009F7625">
        <w:rPr>
          <w:sz w:val="28"/>
          <w:szCs w:val="28"/>
        </w:rPr>
        <w:t xml:space="preserve"> định nghĩa </w:t>
      </w:r>
      <w:r w:rsidR="00A921D2" w:rsidRPr="009F7625">
        <w:rPr>
          <w:sz w:val="28"/>
          <w:szCs w:val="28"/>
        </w:rPr>
        <w:t xml:space="preserve">tại </w:t>
      </w:r>
      <w:r w:rsidRPr="009F7625">
        <w:rPr>
          <w:sz w:val="28"/>
          <w:szCs w:val="28"/>
        </w:rPr>
        <w:t>Chỉ thị 2009/41/EC của Nghị viện Châu Âu và Hội đồng ngày 6 tháng 5 năm 2009,</w:t>
      </w:r>
      <w:r w:rsidR="00A921D2" w:rsidRPr="009F7625">
        <w:rPr>
          <w:sz w:val="28"/>
          <w:szCs w:val="28"/>
        </w:rPr>
        <w:t xml:space="preserve"> trong đó</w:t>
      </w:r>
      <w:r w:rsidRPr="009F7625">
        <w:rPr>
          <w:sz w:val="28"/>
          <w:szCs w:val="28"/>
        </w:rPr>
        <w:t xml:space="preserve"> loại trừ các tế bào động vật và thực vật trong nuôi cấy. Để </w:t>
      </w:r>
      <w:r w:rsidR="00A921D2" w:rsidRPr="009F7625">
        <w:rPr>
          <w:sz w:val="28"/>
          <w:szCs w:val="28"/>
        </w:rPr>
        <w:t xml:space="preserve">đảm bảo tính nhất quán </w:t>
      </w:r>
      <w:r w:rsidRPr="009F7625">
        <w:rPr>
          <w:sz w:val="28"/>
          <w:szCs w:val="28"/>
        </w:rPr>
        <w:t>với khuôn khổ</w:t>
      </w:r>
      <w:r w:rsidR="00A921D2" w:rsidRPr="009F7625">
        <w:rPr>
          <w:sz w:val="28"/>
          <w:szCs w:val="28"/>
        </w:rPr>
        <w:t xml:space="preserve"> pháp lý </w:t>
      </w:r>
      <w:r w:rsidR="00A921D2" w:rsidRPr="009F7625">
        <w:rPr>
          <w:spacing w:val="-4"/>
          <w:sz w:val="28"/>
          <w:szCs w:val="28"/>
        </w:rPr>
        <w:t>chung về</w:t>
      </w:r>
      <w:r w:rsidRPr="009F7625">
        <w:rPr>
          <w:spacing w:val="-4"/>
          <w:sz w:val="28"/>
          <w:szCs w:val="28"/>
        </w:rPr>
        <w:t xml:space="preserve"> GMO, cần đảm bảo rằng các quy tắc tương tự</w:t>
      </w:r>
      <w:r w:rsidR="00A921D2" w:rsidRPr="009F7625">
        <w:rPr>
          <w:spacing w:val="-4"/>
          <w:sz w:val="28"/>
          <w:szCs w:val="28"/>
        </w:rPr>
        <w:t xml:space="preserve"> cũng được</w:t>
      </w:r>
      <w:r w:rsidRPr="009F7625">
        <w:rPr>
          <w:spacing w:val="-4"/>
          <w:sz w:val="28"/>
          <w:szCs w:val="28"/>
        </w:rPr>
        <w:t xml:space="preserve"> áp dụng cho các tế bào động vật và thực vật, bất kể chúng đang </w:t>
      </w:r>
      <w:r w:rsidR="00A921D2" w:rsidRPr="009F7625">
        <w:rPr>
          <w:spacing w:val="-4"/>
          <w:sz w:val="28"/>
          <w:szCs w:val="28"/>
        </w:rPr>
        <w:t>ở trong môi trường nuôi cấy, không trong môi trường nuôi cấy hay nằm trong các sinh vật hoàn chỉnh</w:t>
      </w:r>
      <w:r w:rsidRPr="009F7625">
        <w:rPr>
          <w:spacing w:val="-4"/>
          <w:sz w:val="28"/>
          <w:szCs w:val="28"/>
        </w:rPr>
        <w:t xml:space="preserve">. Do đó, các </w:t>
      </w:r>
      <w:r w:rsidR="00A921D2" w:rsidRPr="009F7625">
        <w:rPr>
          <w:spacing w:val="-4"/>
          <w:sz w:val="28"/>
          <w:szCs w:val="28"/>
        </w:rPr>
        <w:t>điều khoản</w:t>
      </w:r>
      <w:r w:rsidRPr="009F7625">
        <w:rPr>
          <w:spacing w:val="-4"/>
          <w:sz w:val="28"/>
          <w:szCs w:val="28"/>
        </w:rPr>
        <w:t xml:space="preserve"> cụ thể</w:t>
      </w:r>
      <w:r w:rsidR="00A921D2" w:rsidRPr="009F7625">
        <w:rPr>
          <w:spacing w:val="-4"/>
          <w:sz w:val="28"/>
          <w:szCs w:val="28"/>
        </w:rPr>
        <w:t xml:space="preserve"> này</w:t>
      </w:r>
      <w:r w:rsidRPr="009F7625">
        <w:rPr>
          <w:spacing w:val="-4"/>
          <w:sz w:val="28"/>
          <w:szCs w:val="28"/>
        </w:rPr>
        <w:t xml:space="preserve"> chỉ nên bao </w:t>
      </w:r>
      <w:r w:rsidR="00A921D2" w:rsidRPr="009F7625">
        <w:rPr>
          <w:spacing w:val="-4"/>
          <w:sz w:val="28"/>
          <w:szCs w:val="28"/>
        </w:rPr>
        <w:t xml:space="preserve">quát </w:t>
      </w:r>
      <w:r w:rsidRPr="009F7625">
        <w:rPr>
          <w:spacing w:val="-4"/>
          <w:sz w:val="28"/>
          <w:szCs w:val="28"/>
        </w:rPr>
        <w:t xml:space="preserve">các vi sinh vật theo nghĩa sinh học, bao gồm các nhóm phân loại </w:t>
      </w:r>
      <w:r w:rsidR="00A921D2" w:rsidRPr="009F7625">
        <w:rPr>
          <w:spacing w:val="-4"/>
          <w:sz w:val="28"/>
          <w:szCs w:val="28"/>
        </w:rPr>
        <w:t>cổ khuẩn (</w:t>
      </w:r>
      <w:r w:rsidRPr="009F7625">
        <w:rPr>
          <w:spacing w:val="-4"/>
          <w:sz w:val="28"/>
          <w:szCs w:val="28"/>
        </w:rPr>
        <w:t>Archaea</w:t>
      </w:r>
      <w:r w:rsidR="00A921D2" w:rsidRPr="009F7625">
        <w:rPr>
          <w:spacing w:val="-4"/>
          <w:sz w:val="28"/>
          <w:szCs w:val="28"/>
        </w:rPr>
        <w:t>)</w:t>
      </w:r>
      <w:r w:rsidRPr="009F7625">
        <w:rPr>
          <w:spacing w:val="-4"/>
          <w:sz w:val="28"/>
          <w:szCs w:val="28"/>
        </w:rPr>
        <w:t xml:space="preserve"> và</w:t>
      </w:r>
      <w:r w:rsidR="00A921D2" w:rsidRPr="009F7625">
        <w:rPr>
          <w:spacing w:val="-4"/>
          <w:sz w:val="28"/>
          <w:szCs w:val="28"/>
        </w:rPr>
        <w:t xml:space="preserve"> vi khuẩn</w:t>
      </w:r>
      <w:r w:rsidR="001A6BED" w:rsidRPr="009F7625">
        <w:rPr>
          <w:spacing w:val="-4"/>
          <w:sz w:val="28"/>
          <w:szCs w:val="28"/>
        </w:rPr>
        <w:t xml:space="preserve"> </w:t>
      </w:r>
      <w:r w:rsidR="00A921D2" w:rsidRPr="009F7625">
        <w:rPr>
          <w:spacing w:val="-4"/>
          <w:sz w:val="28"/>
          <w:szCs w:val="28"/>
        </w:rPr>
        <w:t>(</w:t>
      </w:r>
      <w:r w:rsidRPr="009F7625">
        <w:rPr>
          <w:spacing w:val="-4"/>
          <w:sz w:val="28"/>
          <w:szCs w:val="28"/>
        </w:rPr>
        <w:t>Bacteria</w:t>
      </w:r>
      <w:r w:rsidR="00A921D2" w:rsidRPr="009F7625">
        <w:rPr>
          <w:spacing w:val="-4"/>
          <w:sz w:val="28"/>
          <w:szCs w:val="28"/>
        </w:rPr>
        <w:t>)</w:t>
      </w:r>
      <w:r w:rsidRPr="009F7625">
        <w:rPr>
          <w:spacing w:val="-4"/>
          <w:sz w:val="28"/>
          <w:szCs w:val="28"/>
        </w:rPr>
        <w:t>, các loài đơn bào và giai đoạn sống của</w:t>
      </w:r>
      <w:r w:rsidR="00A921D2" w:rsidRPr="009F7625">
        <w:rPr>
          <w:spacing w:val="-4"/>
          <w:sz w:val="28"/>
          <w:szCs w:val="28"/>
        </w:rPr>
        <w:t xml:space="preserve"> động vật nguyên sinh</w:t>
      </w:r>
      <w:r w:rsidR="001A6BED" w:rsidRPr="009F7625">
        <w:rPr>
          <w:spacing w:val="-4"/>
          <w:sz w:val="28"/>
          <w:szCs w:val="28"/>
        </w:rPr>
        <w:t xml:space="preserve"> </w:t>
      </w:r>
      <w:r w:rsidR="00A921D2" w:rsidRPr="009F7625">
        <w:rPr>
          <w:spacing w:val="-4"/>
          <w:sz w:val="28"/>
          <w:szCs w:val="28"/>
        </w:rPr>
        <w:t>(</w:t>
      </w:r>
      <w:r w:rsidRPr="009F7625">
        <w:rPr>
          <w:spacing w:val="-4"/>
          <w:sz w:val="28"/>
          <w:szCs w:val="28"/>
        </w:rPr>
        <w:t>Protozoa</w:t>
      </w:r>
      <w:r w:rsidR="00A921D2" w:rsidRPr="009F7625">
        <w:rPr>
          <w:spacing w:val="-4"/>
          <w:sz w:val="28"/>
          <w:szCs w:val="28"/>
        </w:rPr>
        <w:t>)</w:t>
      </w:r>
      <w:r w:rsidRPr="009F7625">
        <w:rPr>
          <w:spacing w:val="-4"/>
          <w:sz w:val="28"/>
          <w:szCs w:val="28"/>
        </w:rPr>
        <w:t>,</w:t>
      </w:r>
      <w:r w:rsidR="00A921D2" w:rsidRPr="009F7625">
        <w:rPr>
          <w:spacing w:val="-4"/>
          <w:sz w:val="28"/>
          <w:szCs w:val="28"/>
        </w:rPr>
        <w:t xml:space="preserve"> nhóm tảo</w:t>
      </w:r>
      <w:r w:rsidR="001A6BED" w:rsidRPr="009F7625">
        <w:rPr>
          <w:spacing w:val="-4"/>
          <w:sz w:val="28"/>
          <w:szCs w:val="28"/>
        </w:rPr>
        <w:t xml:space="preserve"> </w:t>
      </w:r>
      <w:r w:rsidR="00A921D2" w:rsidRPr="009F7625">
        <w:rPr>
          <w:spacing w:val="-4"/>
          <w:sz w:val="28"/>
          <w:szCs w:val="28"/>
        </w:rPr>
        <w:t>(</w:t>
      </w:r>
      <w:r w:rsidRPr="009F7625">
        <w:rPr>
          <w:spacing w:val="-4"/>
          <w:sz w:val="28"/>
          <w:szCs w:val="28"/>
        </w:rPr>
        <w:t>Chromista</w:t>
      </w:r>
      <w:r w:rsidR="00A921D2" w:rsidRPr="009F7625">
        <w:rPr>
          <w:spacing w:val="-4"/>
          <w:sz w:val="28"/>
          <w:szCs w:val="28"/>
        </w:rPr>
        <w:t>)</w:t>
      </w:r>
      <w:r w:rsidRPr="009F7625">
        <w:rPr>
          <w:spacing w:val="-4"/>
          <w:sz w:val="28"/>
          <w:szCs w:val="28"/>
        </w:rPr>
        <w:t xml:space="preserve"> và </w:t>
      </w:r>
      <w:r w:rsidR="00A921D2" w:rsidRPr="009F7625">
        <w:rPr>
          <w:spacing w:val="-4"/>
          <w:sz w:val="28"/>
          <w:szCs w:val="28"/>
        </w:rPr>
        <w:t>nấm (</w:t>
      </w:r>
      <w:r w:rsidRPr="009F7625">
        <w:rPr>
          <w:spacing w:val="-4"/>
          <w:sz w:val="28"/>
          <w:szCs w:val="28"/>
        </w:rPr>
        <w:t>Fungi</w:t>
      </w:r>
      <w:r w:rsidR="00A921D2" w:rsidRPr="009F7625">
        <w:rPr>
          <w:spacing w:val="-4"/>
          <w:sz w:val="28"/>
          <w:szCs w:val="28"/>
        </w:rPr>
        <w:t>)</w:t>
      </w:r>
      <w:r w:rsidRPr="009F7625">
        <w:rPr>
          <w:spacing w:val="-4"/>
          <w:sz w:val="28"/>
          <w:szCs w:val="28"/>
        </w:rPr>
        <w:t xml:space="preserve">, cũng như </w:t>
      </w:r>
      <w:r w:rsidR="00A921D2" w:rsidRPr="009F7625">
        <w:rPr>
          <w:spacing w:val="-4"/>
          <w:sz w:val="28"/>
          <w:szCs w:val="28"/>
        </w:rPr>
        <w:t xml:space="preserve">các loại </w:t>
      </w:r>
      <w:r w:rsidRPr="009F7625">
        <w:rPr>
          <w:spacing w:val="-4"/>
          <w:sz w:val="28"/>
          <w:szCs w:val="28"/>
        </w:rPr>
        <w:t>nấm sợi và vi rút</w:t>
      </w:r>
      <w:r w:rsidR="00A921D2" w:rsidRPr="009F7625">
        <w:rPr>
          <w:spacing w:val="-4"/>
          <w:sz w:val="28"/>
          <w:szCs w:val="28"/>
        </w:rPr>
        <w:t xml:space="preserve">; </w:t>
      </w:r>
      <w:r w:rsidRPr="009F7625">
        <w:rPr>
          <w:spacing w:val="-4"/>
          <w:sz w:val="28"/>
          <w:szCs w:val="28"/>
        </w:rPr>
        <w:t xml:space="preserve">đồng thời loại trừ các tế bào động vật và thực vật trong </w:t>
      </w:r>
      <w:r w:rsidR="00A921D2" w:rsidRPr="009F7625">
        <w:rPr>
          <w:spacing w:val="-4"/>
          <w:sz w:val="28"/>
          <w:szCs w:val="28"/>
        </w:rPr>
        <w:t xml:space="preserve">môi trường </w:t>
      </w:r>
      <w:r w:rsidRPr="009F7625">
        <w:rPr>
          <w:spacing w:val="-4"/>
          <w:sz w:val="28"/>
          <w:szCs w:val="28"/>
        </w:rPr>
        <w:t>nuôi cấy.</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39</w:t>
      </w:r>
      <w:r w:rsidR="00727C11" w:rsidRPr="009F7625">
        <w:rPr>
          <w:sz w:val="28"/>
          <w:szCs w:val="28"/>
        </w:rPr>
        <w:t>.</w:t>
      </w:r>
      <w:r w:rsidRPr="009F7625">
        <w:rPr>
          <w:sz w:val="28"/>
          <w:szCs w:val="28"/>
        </w:rPr>
        <w:t xml:space="preserve"> Quy định (EC) số 1831/2003quy định các căn cứ và thủ tục cấp phép</w:t>
      </w:r>
      <w:r w:rsidR="00A921D2" w:rsidRPr="009F7625">
        <w:rPr>
          <w:sz w:val="28"/>
          <w:szCs w:val="28"/>
        </w:rPr>
        <w:t xml:space="preserve"> đối với </w:t>
      </w:r>
      <w:r w:rsidRPr="009F7625">
        <w:rPr>
          <w:sz w:val="28"/>
          <w:szCs w:val="28"/>
        </w:rPr>
        <w:t xml:space="preserve">các chất phụ gia thức ăn chăn nuôi trong Liên minh. </w:t>
      </w:r>
      <w:r w:rsidR="00A921D2" w:rsidRPr="009F7625">
        <w:rPr>
          <w:sz w:val="28"/>
          <w:szCs w:val="28"/>
        </w:rPr>
        <w:t xml:space="preserve">Theo quy </w:t>
      </w:r>
      <w:r w:rsidRPr="009F7625">
        <w:rPr>
          <w:sz w:val="28"/>
          <w:szCs w:val="28"/>
        </w:rPr>
        <w:t>định này</w:t>
      </w:r>
      <w:r w:rsidR="00A921D2" w:rsidRPr="009F7625">
        <w:rPr>
          <w:sz w:val="28"/>
          <w:szCs w:val="28"/>
        </w:rPr>
        <w:t>, giấp phép đối với</w:t>
      </w:r>
      <w:r w:rsidRPr="009F7625">
        <w:rPr>
          <w:sz w:val="28"/>
          <w:szCs w:val="28"/>
        </w:rPr>
        <w:t xml:space="preserve"> các chất phụ gia thức ăn chăn nuôi có hiệu lực trong mười năm và có thể được gia hạn theo từng giai đoạn mười năm </w:t>
      </w:r>
      <w:r w:rsidR="00A921D2" w:rsidRPr="009F7625">
        <w:rPr>
          <w:sz w:val="28"/>
          <w:szCs w:val="28"/>
        </w:rPr>
        <w:t xml:space="preserve">nếu </w:t>
      </w:r>
      <w:r w:rsidRPr="009F7625">
        <w:rPr>
          <w:sz w:val="28"/>
          <w:szCs w:val="28"/>
        </w:rPr>
        <w:t>nộp</w:t>
      </w:r>
      <w:r w:rsidR="00A921D2" w:rsidRPr="009F7625">
        <w:rPr>
          <w:sz w:val="28"/>
          <w:szCs w:val="28"/>
        </w:rPr>
        <w:t xml:space="preserve"> hồ sơ</w:t>
      </w:r>
      <w:r w:rsidRPr="009F7625">
        <w:rPr>
          <w:sz w:val="28"/>
          <w:szCs w:val="28"/>
        </w:rPr>
        <w:t xml:space="preserve"> đúng hạn. </w:t>
      </w:r>
      <w:r w:rsidR="00A921D2" w:rsidRPr="009F7625">
        <w:rPr>
          <w:sz w:val="28"/>
          <w:szCs w:val="28"/>
        </w:rPr>
        <w:t xml:space="preserve">Tuy nhiên, yêu </w:t>
      </w:r>
      <w:r w:rsidRPr="009F7625">
        <w:rPr>
          <w:sz w:val="28"/>
          <w:szCs w:val="28"/>
        </w:rPr>
        <w:t xml:space="preserve">cầu gia hạn này </w:t>
      </w:r>
      <w:r w:rsidR="00A921D2" w:rsidRPr="009F7625">
        <w:rPr>
          <w:sz w:val="28"/>
          <w:szCs w:val="28"/>
        </w:rPr>
        <w:t>lại tạo ra</w:t>
      </w:r>
      <w:r w:rsidRPr="009F7625">
        <w:rPr>
          <w:sz w:val="28"/>
          <w:szCs w:val="28"/>
        </w:rPr>
        <w:t xml:space="preserve"> gánh nặng hành chính</w:t>
      </w:r>
      <w:r w:rsidR="00A921D2" w:rsidRPr="009F7625">
        <w:rPr>
          <w:sz w:val="28"/>
          <w:szCs w:val="28"/>
        </w:rPr>
        <w:t>,</w:t>
      </w:r>
      <w:r w:rsidRPr="009F7625">
        <w:rPr>
          <w:sz w:val="28"/>
          <w:szCs w:val="28"/>
        </w:rPr>
        <w:t xml:space="preserve"> pháp lý và chi phí tài chính cho các doanh nghiệp, đặc biệt là các doanh nghiệp vừa và nhỏ (SME),</w:t>
      </w:r>
      <w:r w:rsidR="00A921D2" w:rsidRPr="009F7625">
        <w:rPr>
          <w:sz w:val="28"/>
          <w:szCs w:val="28"/>
        </w:rPr>
        <w:t xml:space="preserve"> cũng như </w:t>
      </w:r>
      <w:r w:rsidRPr="009F7625">
        <w:rPr>
          <w:sz w:val="28"/>
          <w:szCs w:val="28"/>
        </w:rPr>
        <w:t xml:space="preserve">cho Cơ quan, các </w:t>
      </w:r>
      <w:r w:rsidR="00A921D2" w:rsidRPr="009F7625">
        <w:rPr>
          <w:sz w:val="28"/>
          <w:szCs w:val="28"/>
        </w:rPr>
        <w:t xml:space="preserve">quốc </w:t>
      </w:r>
      <w:r w:rsidRPr="009F7625">
        <w:rPr>
          <w:sz w:val="28"/>
          <w:szCs w:val="28"/>
        </w:rPr>
        <w:t xml:space="preserve">gia </w:t>
      </w:r>
      <w:r w:rsidR="00A921D2" w:rsidRPr="009F7625">
        <w:rPr>
          <w:sz w:val="28"/>
          <w:szCs w:val="28"/>
        </w:rPr>
        <w:t xml:space="preserve">thành </w:t>
      </w:r>
      <w:r w:rsidRPr="009F7625">
        <w:rPr>
          <w:sz w:val="28"/>
          <w:szCs w:val="28"/>
        </w:rPr>
        <w:t xml:space="preserve">viên và Ủy ban </w:t>
      </w:r>
      <w:r w:rsidR="00A921D2" w:rsidRPr="009F7625">
        <w:rPr>
          <w:sz w:val="28"/>
          <w:szCs w:val="28"/>
        </w:rPr>
        <w:t>trong quy trình</w:t>
      </w:r>
      <w:r w:rsidRPr="009F7625">
        <w:rPr>
          <w:sz w:val="28"/>
          <w:szCs w:val="28"/>
        </w:rPr>
        <w:t xml:space="preserve"> gia hạn. Ngoài ra, việc thực </w:t>
      </w:r>
      <w:r w:rsidR="00A921D2" w:rsidRPr="009F7625">
        <w:rPr>
          <w:sz w:val="28"/>
          <w:szCs w:val="28"/>
        </w:rPr>
        <w:t xml:space="preserve">thi </w:t>
      </w:r>
      <w:r w:rsidRPr="009F7625">
        <w:rPr>
          <w:sz w:val="28"/>
          <w:szCs w:val="28"/>
        </w:rPr>
        <w:t xml:space="preserve">Quy định (EC) số 1831/2003 cho đến nay mới chỉ dẫn đến rất ít trường hợp </w:t>
      </w:r>
      <w:r w:rsidR="003F29BE" w:rsidRPr="009F7625">
        <w:rPr>
          <w:sz w:val="28"/>
          <w:szCs w:val="28"/>
        </w:rPr>
        <w:t>thu hồi</w:t>
      </w:r>
      <w:r w:rsidRPr="009F7625">
        <w:rPr>
          <w:sz w:val="28"/>
          <w:szCs w:val="28"/>
        </w:rPr>
        <w:t xml:space="preserve"> hoặc từ chối </w:t>
      </w:r>
      <w:r w:rsidR="003F29BE" w:rsidRPr="009F7625">
        <w:rPr>
          <w:sz w:val="28"/>
          <w:szCs w:val="28"/>
        </w:rPr>
        <w:t>cấp</w:t>
      </w:r>
      <w:r w:rsidRPr="009F7625">
        <w:rPr>
          <w:sz w:val="28"/>
          <w:szCs w:val="28"/>
        </w:rPr>
        <w:t xml:space="preserve"> phép vì lý do an toàn, đặc biệt là trong dịp gia hạn giấy phép. Để tránh </w:t>
      </w:r>
      <w:r w:rsidR="003F29BE" w:rsidRPr="009F7625">
        <w:rPr>
          <w:sz w:val="28"/>
          <w:szCs w:val="28"/>
        </w:rPr>
        <w:t xml:space="preserve">các </w:t>
      </w:r>
      <w:r w:rsidRPr="009F7625">
        <w:rPr>
          <w:sz w:val="28"/>
          <w:szCs w:val="28"/>
        </w:rPr>
        <w:t xml:space="preserve">gánh nặng hành chính và tài chính không cần thiết, </w:t>
      </w:r>
      <w:r w:rsidR="003F29BE" w:rsidRPr="009F7625">
        <w:rPr>
          <w:sz w:val="28"/>
          <w:szCs w:val="28"/>
        </w:rPr>
        <w:t xml:space="preserve">từ </w:t>
      </w:r>
      <w:r w:rsidRPr="009F7625">
        <w:rPr>
          <w:sz w:val="28"/>
          <w:szCs w:val="28"/>
        </w:rPr>
        <w:t>đó</w:t>
      </w:r>
      <w:r w:rsidR="003F29BE" w:rsidRPr="009F7625">
        <w:rPr>
          <w:sz w:val="28"/>
          <w:szCs w:val="28"/>
        </w:rPr>
        <w:t xml:space="preserve"> tập trung</w:t>
      </w:r>
      <w:r w:rsidRPr="009F7625">
        <w:rPr>
          <w:sz w:val="28"/>
          <w:szCs w:val="28"/>
        </w:rPr>
        <w:t xml:space="preserve"> nguồn lực cho nghiên cứu, phát triển sản phẩm và mở rộng thị trường, việc cấp phép </w:t>
      </w:r>
      <w:r w:rsidR="003F29BE" w:rsidRPr="009F7625">
        <w:rPr>
          <w:sz w:val="28"/>
          <w:szCs w:val="28"/>
        </w:rPr>
        <w:t xml:space="preserve">phụ gia </w:t>
      </w:r>
      <w:r w:rsidRPr="009F7625">
        <w:rPr>
          <w:sz w:val="28"/>
          <w:szCs w:val="28"/>
        </w:rPr>
        <w:t xml:space="preserve">thức ăn chăn nuôi nên được thực hiện </w:t>
      </w:r>
      <w:r w:rsidR="003F29BE" w:rsidRPr="009F7625">
        <w:rPr>
          <w:sz w:val="28"/>
          <w:szCs w:val="28"/>
        </w:rPr>
        <w:t>với thời hạn không giới hạn</w:t>
      </w:r>
      <w:r w:rsidRPr="009F7625">
        <w:rPr>
          <w:sz w:val="28"/>
          <w:szCs w:val="28"/>
        </w:rPr>
        <w:t xml:space="preserve">, ngoại trừ các chất phụ gia thuộc nhóm </w:t>
      </w:r>
      <w:r w:rsidR="003F29BE" w:rsidRPr="009F7625">
        <w:rPr>
          <w:sz w:val="28"/>
          <w:szCs w:val="28"/>
        </w:rPr>
        <w:t xml:space="preserve">thuốc trị </w:t>
      </w:r>
      <w:r w:rsidRPr="009F7625">
        <w:rPr>
          <w:sz w:val="28"/>
          <w:szCs w:val="28"/>
        </w:rPr>
        <w:t xml:space="preserve">cầu trùng (coccidiostats) và </w:t>
      </w:r>
      <w:r w:rsidR="003F29BE" w:rsidRPr="009F7625">
        <w:rPr>
          <w:sz w:val="28"/>
          <w:szCs w:val="28"/>
        </w:rPr>
        <w:t>thuốc trị bệnh tích huyết trùng (</w:t>
      </w:r>
      <w:r w:rsidRPr="009F7625">
        <w:rPr>
          <w:sz w:val="28"/>
          <w:szCs w:val="28"/>
        </w:rPr>
        <w:t>histomonostats</w:t>
      </w:r>
      <w:r w:rsidR="003F29BE" w:rsidRPr="009F7625">
        <w:rPr>
          <w:sz w:val="28"/>
          <w:szCs w:val="28"/>
        </w:rPr>
        <w:t>)</w:t>
      </w:r>
      <w:r w:rsidRPr="009F7625">
        <w:rPr>
          <w:sz w:val="28"/>
          <w:szCs w:val="28"/>
        </w:rPr>
        <w:t xml:space="preserve"> vẫn nên nằm trong chế độ cấp phép mười năm do bản chất kháng khuẩn và hồ sơ rủi ro cao hơn của chúng.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40</w:t>
      </w:r>
      <w:r w:rsidR="00727C11" w:rsidRPr="009F7625">
        <w:rPr>
          <w:sz w:val="28"/>
          <w:szCs w:val="28"/>
        </w:rPr>
        <w:t>.</w:t>
      </w:r>
      <w:r w:rsidRPr="009F7625">
        <w:rPr>
          <w:sz w:val="28"/>
          <w:szCs w:val="28"/>
        </w:rPr>
        <w:t xml:space="preserve"> Các biện pháp thay thế cho phương án cấp phép </w:t>
      </w:r>
      <w:r w:rsidR="003F29BE" w:rsidRPr="009F7625">
        <w:rPr>
          <w:sz w:val="28"/>
          <w:szCs w:val="28"/>
        </w:rPr>
        <w:t xml:space="preserve">với thời hạn không </w:t>
      </w:r>
      <w:r w:rsidR="00901E1F" w:rsidRPr="009F7625">
        <w:rPr>
          <w:sz w:val="28"/>
          <w:szCs w:val="28"/>
        </w:rPr>
        <w:t>giới hạn</w:t>
      </w:r>
      <w:r w:rsidRPr="009F7625">
        <w:rPr>
          <w:sz w:val="28"/>
          <w:szCs w:val="28"/>
        </w:rPr>
        <w:t xml:space="preserve">, chẳng hạn như </w:t>
      </w:r>
      <w:r w:rsidR="003F29BE" w:rsidRPr="009F7625">
        <w:rPr>
          <w:sz w:val="28"/>
          <w:szCs w:val="28"/>
        </w:rPr>
        <w:t xml:space="preserve">kéo dài </w:t>
      </w:r>
      <w:r w:rsidRPr="009F7625">
        <w:rPr>
          <w:sz w:val="28"/>
          <w:szCs w:val="28"/>
        </w:rPr>
        <w:t xml:space="preserve">thời hạn cấp phép </w:t>
      </w:r>
      <w:r w:rsidR="003F29BE" w:rsidRPr="009F7625">
        <w:rPr>
          <w:sz w:val="28"/>
          <w:szCs w:val="28"/>
        </w:rPr>
        <w:t>đối với</w:t>
      </w:r>
      <w:r w:rsidRPr="009F7625">
        <w:rPr>
          <w:sz w:val="28"/>
          <w:szCs w:val="28"/>
        </w:rPr>
        <w:t xml:space="preserve"> một số hoặc tất cả các chất phụ gia thức ăn chăn nuôi</w:t>
      </w:r>
      <w:r w:rsidR="003F29BE" w:rsidRPr="009F7625">
        <w:rPr>
          <w:sz w:val="28"/>
          <w:szCs w:val="28"/>
        </w:rPr>
        <w:t>,</w:t>
      </w:r>
      <w:r w:rsidRPr="009F7625">
        <w:rPr>
          <w:sz w:val="28"/>
          <w:szCs w:val="28"/>
        </w:rPr>
        <w:t xml:space="preserve"> hoặc</w:t>
      </w:r>
      <w:r w:rsidR="003F29BE" w:rsidRPr="009F7625">
        <w:rPr>
          <w:sz w:val="28"/>
          <w:szCs w:val="28"/>
        </w:rPr>
        <w:t xml:space="preserve"> quy định cácthời hạn</w:t>
      </w:r>
      <w:r w:rsidRPr="009F7625">
        <w:rPr>
          <w:sz w:val="28"/>
          <w:szCs w:val="28"/>
        </w:rPr>
        <w:t xml:space="preserve"> cấp phép khác nhau tùy theo loại</w:t>
      </w:r>
      <w:r w:rsidR="003F29BE" w:rsidRPr="009F7625">
        <w:rPr>
          <w:sz w:val="28"/>
          <w:szCs w:val="28"/>
        </w:rPr>
        <w:t xml:space="preserve"> chất</w:t>
      </w:r>
      <w:r w:rsidRPr="009F7625">
        <w:rPr>
          <w:sz w:val="28"/>
          <w:szCs w:val="28"/>
        </w:rPr>
        <w:t xml:space="preserve"> phụ gia,</w:t>
      </w:r>
      <w:r w:rsidR="003F29BE" w:rsidRPr="009F7625">
        <w:rPr>
          <w:sz w:val="28"/>
          <w:szCs w:val="28"/>
        </w:rPr>
        <w:t xml:space="preserve"> đã được xem xét nhưng không được đánh giá là phù hợp. Nguyên nhân là do </w:t>
      </w:r>
      <w:r w:rsidRPr="009F7625">
        <w:rPr>
          <w:sz w:val="28"/>
          <w:szCs w:val="28"/>
        </w:rPr>
        <w:t xml:space="preserve">thiếu các tiêu chí </w:t>
      </w:r>
      <w:r w:rsidR="003F29BE" w:rsidRPr="009F7625">
        <w:rPr>
          <w:sz w:val="28"/>
          <w:szCs w:val="28"/>
        </w:rPr>
        <w:t xml:space="preserve">khách quan để phân biệt giữa các nhóm hoặc chức năng của các chất phụ gia xét về mức độ an toàn hoặc hiệu quả, hoặc do tồn tại nguy cơ không có tổ chức, cá nhân nộp hồ sơ xin gia hạn </w:t>
      </w:r>
      <w:r w:rsidR="00901E1F" w:rsidRPr="009F7625">
        <w:rPr>
          <w:sz w:val="28"/>
          <w:szCs w:val="28"/>
        </w:rPr>
        <w:t>đối với các loại cấp phép không chỉ định chủ sở hữu cụ thể (non-holder specific authorisations).</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41</w:t>
      </w:r>
      <w:r w:rsidR="00727C11" w:rsidRPr="009F7625">
        <w:rPr>
          <w:sz w:val="28"/>
          <w:szCs w:val="28"/>
        </w:rPr>
        <w:t>.</w:t>
      </w:r>
      <w:r w:rsidR="00191A96" w:rsidRPr="009F7625">
        <w:rPr>
          <w:sz w:val="28"/>
          <w:szCs w:val="28"/>
        </w:rPr>
        <w:t xml:space="preserve"> </w:t>
      </w:r>
      <w:r w:rsidR="00901E1F" w:rsidRPr="009F7625">
        <w:rPr>
          <w:sz w:val="28"/>
          <w:szCs w:val="28"/>
        </w:rPr>
        <w:t xml:space="preserve">Việc </w:t>
      </w:r>
      <w:r w:rsidRPr="009F7625">
        <w:rPr>
          <w:sz w:val="28"/>
          <w:szCs w:val="28"/>
        </w:rPr>
        <w:t xml:space="preserve">sửa đổi, đình chỉ hoặc thu hồi các giấy phép hiện có </w:t>
      </w:r>
      <w:r w:rsidR="00901E1F" w:rsidRPr="009F7625">
        <w:rPr>
          <w:sz w:val="28"/>
          <w:szCs w:val="28"/>
        </w:rPr>
        <w:t xml:space="preserve">vẫn sẽ </w:t>
      </w:r>
      <w:r w:rsidRPr="009F7625">
        <w:rPr>
          <w:sz w:val="28"/>
          <w:szCs w:val="28"/>
        </w:rPr>
        <w:t xml:space="preserve">tiếp tục được </w:t>
      </w:r>
      <w:r w:rsidR="00901E1F" w:rsidRPr="009F7625">
        <w:rPr>
          <w:sz w:val="28"/>
          <w:szCs w:val="28"/>
        </w:rPr>
        <w:t>thực hiện vào</w:t>
      </w:r>
      <w:r w:rsidRPr="009F7625">
        <w:rPr>
          <w:sz w:val="28"/>
          <w:szCs w:val="28"/>
        </w:rPr>
        <w:t xml:space="preserve"> bất kỳ lúc nào nếu các giấy phép đó không còn đáp ứng các điều kiện về an toàn hoặc hiệu quả được quy định trong Quy định (EC) số 1831/2003, có tính đến các</w:t>
      </w:r>
      <w:r w:rsidR="00C30C58" w:rsidRPr="009F7625">
        <w:rPr>
          <w:sz w:val="28"/>
          <w:szCs w:val="28"/>
        </w:rPr>
        <w:t>tiến bộ</w:t>
      </w:r>
      <w:r w:rsidR="00901E1F" w:rsidRPr="009F7625">
        <w:rPr>
          <w:sz w:val="28"/>
          <w:szCs w:val="28"/>
        </w:rPr>
        <w:t xml:space="preserve"> về khoa học và công nghệ</w:t>
      </w:r>
      <w:r w:rsidRPr="009F7625">
        <w:rPr>
          <w:sz w:val="28"/>
          <w:szCs w:val="28"/>
        </w:rPr>
        <w:t>. Mức độ</w:t>
      </w:r>
      <w:r w:rsidR="00901E1F" w:rsidRPr="009F7625">
        <w:rPr>
          <w:sz w:val="28"/>
          <w:szCs w:val="28"/>
        </w:rPr>
        <w:t xml:space="preserve"> bảo vệ</w:t>
      </w:r>
      <w:r w:rsidRPr="009F7625">
        <w:rPr>
          <w:sz w:val="28"/>
          <w:szCs w:val="28"/>
        </w:rPr>
        <w:t xml:space="preserve"> an toàn cao mà Quy định hướng tới cần tiếp tục được đảm bảo, đặc biệt</w:t>
      </w:r>
      <w:r w:rsidR="00901E1F" w:rsidRPr="009F7625">
        <w:rPr>
          <w:sz w:val="28"/>
          <w:szCs w:val="28"/>
        </w:rPr>
        <w:t xml:space="preserve"> xem</w:t>
      </w:r>
      <w:r w:rsidRPr="009F7625">
        <w:rPr>
          <w:sz w:val="28"/>
          <w:szCs w:val="28"/>
        </w:rPr>
        <w:t xml:space="preserve"> xét đến </w:t>
      </w:r>
      <w:r w:rsidRPr="009F7625">
        <w:rPr>
          <w:sz w:val="28"/>
          <w:szCs w:val="28"/>
        </w:rPr>
        <w:lastRenderedPageBreak/>
        <w:t xml:space="preserve">các yêu cầu giám sát và theo dõi đối với </w:t>
      </w:r>
      <w:r w:rsidR="00901E1F" w:rsidRPr="009F7625">
        <w:rPr>
          <w:sz w:val="28"/>
          <w:szCs w:val="28"/>
        </w:rPr>
        <w:t>chủ sở hữu giấy phép</w:t>
      </w:r>
      <w:r w:rsidRPr="009F7625">
        <w:rPr>
          <w:sz w:val="28"/>
          <w:szCs w:val="28"/>
        </w:rPr>
        <w:t xml:space="preserve">, bao gồm </w:t>
      </w:r>
      <w:r w:rsidR="00901E1F" w:rsidRPr="009F7625">
        <w:rPr>
          <w:sz w:val="28"/>
          <w:szCs w:val="28"/>
        </w:rPr>
        <w:t xml:space="preserve">cả </w:t>
      </w:r>
      <w:r w:rsidRPr="009F7625">
        <w:rPr>
          <w:sz w:val="28"/>
          <w:szCs w:val="28"/>
        </w:rPr>
        <w:t>việc thực hiện giám sát sau khi đưa ra thị trường (post-market monitoring)</w:t>
      </w:r>
      <w:r w:rsidR="00901E1F" w:rsidRPr="009F7625">
        <w:rPr>
          <w:sz w:val="28"/>
          <w:szCs w:val="28"/>
        </w:rPr>
        <w:t xml:space="preserve"> đối với</w:t>
      </w:r>
      <w:r w:rsidRPr="009F7625">
        <w:rPr>
          <w:sz w:val="28"/>
          <w:szCs w:val="28"/>
        </w:rPr>
        <w:t xml:space="preserve"> các giấy phép được cấp trước</w:t>
      </w:r>
      <w:r w:rsidR="00901E1F" w:rsidRPr="009F7625">
        <w:rPr>
          <w:sz w:val="28"/>
          <w:szCs w:val="28"/>
        </w:rPr>
        <w:t xml:space="preserve"> khi</w:t>
      </w:r>
      <w:r w:rsidRPr="009F7625">
        <w:rPr>
          <w:sz w:val="28"/>
          <w:szCs w:val="28"/>
        </w:rPr>
        <w:t xml:space="preserve"> Quy định này</w:t>
      </w:r>
      <w:r w:rsidR="00901E1F" w:rsidRPr="009F7625">
        <w:rPr>
          <w:sz w:val="28"/>
          <w:szCs w:val="28"/>
        </w:rPr>
        <w:t xml:space="preserve"> có hiệu lực;</w:t>
      </w:r>
      <w:r w:rsidRPr="009F7625">
        <w:rPr>
          <w:sz w:val="28"/>
          <w:szCs w:val="28"/>
        </w:rPr>
        <w:t xml:space="preserve"> khả năng Cơ quan </w:t>
      </w:r>
      <w:r w:rsidR="00901E1F" w:rsidRPr="009F7625">
        <w:rPr>
          <w:sz w:val="28"/>
          <w:szCs w:val="28"/>
        </w:rPr>
        <w:t xml:space="preserve">thực hiện </w:t>
      </w:r>
      <w:r w:rsidRPr="009F7625">
        <w:rPr>
          <w:sz w:val="28"/>
          <w:szCs w:val="28"/>
        </w:rPr>
        <w:t xml:space="preserve">đánh giá lại </w:t>
      </w:r>
      <w:r w:rsidR="00901E1F" w:rsidRPr="009F7625">
        <w:rPr>
          <w:sz w:val="28"/>
          <w:szCs w:val="28"/>
        </w:rPr>
        <w:t xml:space="preserve">về mặt </w:t>
      </w:r>
      <w:r w:rsidRPr="009F7625">
        <w:rPr>
          <w:sz w:val="28"/>
          <w:szCs w:val="28"/>
        </w:rPr>
        <w:t>khoa học</w:t>
      </w:r>
      <w:r w:rsidR="00901E1F" w:rsidRPr="009F7625">
        <w:rPr>
          <w:sz w:val="28"/>
          <w:szCs w:val="28"/>
        </w:rPr>
        <w:t xml:space="preserve"> đối với</w:t>
      </w:r>
      <w:r w:rsidRPr="009F7625">
        <w:rPr>
          <w:sz w:val="28"/>
          <w:szCs w:val="28"/>
        </w:rPr>
        <w:t xml:space="preserve"> các giấy phép theo sáng kiến riêng của mình hoặc theo yêu cầu của các </w:t>
      </w:r>
      <w:r w:rsidR="00901E1F" w:rsidRPr="009F7625">
        <w:rPr>
          <w:sz w:val="28"/>
          <w:szCs w:val="28"/>
        </w:rPr>
        <w:t xml:space="preserve">quốc </w:t>
      </w:r>
      <w:r w:rsidRPr="009F7625">
        <w:rPr>
          <w:sz w:val="28"/>
          <w:szCs w:val="28"/>
        </w:rPr>
        <w:t xml:space="preserve">gia </w:t>
      </w:r>
      <w:r w:rsidR="00901E1F" w:rsidRPr="009F7625">
        <w:rPr>
          <w:sz w:val="28"/>
          <w:szCs w:val="28"/>
        </w:rPr>
        <w:t xml:space="preserve">thành </w:t>
      </w:r>
      <w:r w:rsidRPr="009F7625">
        <w:rPr>
          <w:sz w:val="28"/>
          <w:szCs w:val="28"/>
        </w:rPr>
        <w:t>viên hoặc Ủy ban</w:t>
      </w:r>
      <w:r w:rsidR="00901E1F" w:rsidRPr="009F7625">
        <w:rPr>
          <w:sz w:val="28"/>
          <w:szCs w:val="28"/>
        </w:rPr>
        <w:t>,</w:t>
      </w:r>
      <w:r w:rsidRPr="009F7625">
        <w:rPr>
          <w:sz w:val="28"/>
          <w:szCs w:val="28"/>
        </w:rPr>
        <w:t xml:space="preserve"> hoặc khi </w:t>
      </w:r>
      <w:r w:rsidR="00901E1F" w:rsidRPr="009F7625">
        <w:rPr>
          <w:sz w:val="28"/>
          <w:szCs w:val="28"/>
        </w:rPr>
        <w:t xml:space="preserve">có hồ sơ đề nghị </w:t>
      </w:r>
      <w:r w:rsidRPr="009F7625">
        <w:rPr>
          <w:sz w:val="28"/>
          <w:szCs w:val="28"/>
        </w:rPr>
        <w:t xml:space="preserve">sửa đổi giấy phép </w:t>
      </w:r>
      <w:r w:rsidR="00901E1F" w:rsidRPr="009F7625">
        <w:rPr>
          <w:sz w:val="28"/>
          <w:szCs w:val="28"/>
        </w:rPr>
        <w:t xml:space="preserve">hoặc cấp phép cho các </w:t>
      </w:r>
      <w:r w:rsidR="00C30C58" w:rsidRPr="009F7625">
        <w:rPr>
          <w:sz w:val="28"/>
          <w:szCs w:val="28"/>
        </w:rPr>
        <w:t>mục đích sử dụng</w:t>
      </w:r>
      <w:r w:rsidR="00901E1F" w:rsidRPr="009F7625">
        <w:rPr>
          <w:sz w:val="28"/>
          <w:szCs w:val="28"/>
        </w:rPr>
        <w:t xml:space="preserve"> mới của phụ gia thức ăn chăn nuôi</w:t>
      </w:r>
      <w:r w:rsidRPr="009F7625">
        <w:rPr>
          <w:sz w:val="28"/>
          <w:szCs w:val="28"/>
        </w:rPr>
        <w:t xml:space="preserve">. </w:t>
      </w:r>
      <w:r w:rsidR="00901E1F" w:rsidRPr="009F7625">
        <w:rPr>
          <w:sz w:val="28"/>
          <w:szCs w:val="28"/>
        </w:rPr>
        <w:t xml:space="preserve">Nhằm phục vụ việc </w:t>
      </w:r>
      <w:r w:rsidRPr="009F7625">
        <w:rPr>
          <w:sz w:val="28"/>
          <w:szCs w:val="28"/>
        </w:rPr>
        <w:t xml:space="preserve">đánh giá lại </w:t>
      </w:r>
      <w:r w:rsidR="00901E1F" w:rsidRPr="009F7625">
        <w:rPr>
          <w:sz w:val="28"/>
          <w:szCs w:val="28"/>
        </w:rPr>
        <w:t xml:space="preserve">về mặt </w:t>
      </w:r>
      <w:r w:rsidRPr="009F7625">
        <w:rPr>
          <w:sz w:val="28"/>
          <w:szCs w:val="28"/>
        </w:rPr>
        <w:t xml:space="preserve">khoa học, thẩm quyền của Cơ quan nên bao gồm các yêu cầu </w:t>
      </w:r>
      <w:r w:rsidR="00C30C58" w:rsidRPr="009F7625">
        <w:rPr>
          <w:sz w:val="28"/>
          <w:szCs w:val="28"/>
        </w:rPr>
        <w:t xml:space="preserve">người nộp hồ sơ và chủ sở hữu giấy phép cung cấp thông tin cũng như thực hiện bất kỳ </w:t>
      </w:r>
      <w:r w:rsidRPr="009F7625">
        <w:rPr>
          <w:sz w:val="28"/>
          <w:szCs w:val="28"/>
        </w:rPr>
        <w:t>nhiệm vụ liên quan</w:t>
      </w:r>
      <w:r w:rsidR="00C30C58" w:rsidRPr="009F7625">
        <w:rPr>
          <w:sz w:val="28"/>
          <w:szCs w:val="28"/>
        </w:rPr>
        <w:t xml:space="preserve"> nào theo</w:t>
      </w:r>
      <w:r w:rsidRPr="009F7625">
        <w:rPr>
          <w:sz w:val="28"/>
          <w:szCs w:val="28"/>
        </w:rPr>
        <w:t xml:space="preserve"> Quy định (EC) số 178/2002 của Nghị viện Châu Âu và Hội đồn</w:t>
      </w:r>
      <w:r w:rsidR="00C30C58" w:rsidRPr="009F7625">
        <w:rPr>
          <w:sz w:val="28"/>
          <w:szCs w:val="28"/>
        </w:rPr>
        <w:t>g Châu Âu</w:t>
      </w:r>
      <w:r w:rsidRPr="009F7625">
        <w:rPr>
          <w:sz w:val="28"/>
          <w:szCs w:val="28"/>
        </w:rPr>
        <w:t xml:space="preserve">, chẳng hạn </w:t>
      </w:r>
      <w:r w:rsidR="00C30C58" w:rsidRPr="009F7625">
        <w:rPr>
          <w:sz w:val="28"/>
          <w:szCs w:val="28"/>
        </w:rPr>
        <w:t>như thu thập dữ liệu, đặt hàng các nghiên cứu khoa học và sử dụng thông tin từ việc giám sát các rủi ro mới nổi (emerging risks). Việc áp dụng các biện pháp bảo vệ này nhằm đảm bảo rằng việc cấp phép phụ gia thức ăn chăn nuôi với thời hạn không giới hạn sẽ không gây ra rủi ro về an toàn. Do đó, Điều 9 và Điều 14 của Quy định (EC) số 1831/2003 cần được sửa đổi tương ứng</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42</w:t>
      </w:r>
      <w:r w:rsidR="00727C11" w:rsidRPr="009F7625">
        <w:rPr>
          <w:sz w:val="28"/>
          <w:szCs w:val="28"/>
        </w:rPr>
        <w:t>.</w:t>
      </w:r>
      <w:r w:rsidR="00191A96" w:rsidRPr="009F7625">
        <w:rPr>
          <w:sz w:val="28"/>
          <w:szCs w:val="28"/>
        </w:rPr>
        <w:t xml:space="preserve"> </w:t>
      </w:r>
      <w:r w:rsidR="00C30C58" w:rsidRPr="009F7625">
        <w:rPr>
          <w:sz w:val="28"/>
          <w:szCs w:val="28"/>
        </w:rPr>
        <w:t>Nhằm bảo đảm tính chắc chắn về pháp lý và bảo đảm quá trình chuyển đổi suôn sẻ sang các quy định mới, cần làm rõ rằng các giấy phép đối với phụ gia thức ăn chăn nuôi đã được cấp trước thời điểm Quy định này có hiệu lực và vẫn còn hiệu lực tại thời điểm đó được coi là có thời hạn không xác định</w:t>
      </w:r>
      <w:r w:rsidRPr="009F7625">
        <w:rPr>
          <w:sz w:val="28"/>
          <w:szCs w:val="28"/>
        </w:rPr>
        <w:t>.</w:t>
      </w:r>
      <w:r w:rsidR="00C30C58" w:rsidRPr="009F7625">
        <w:rPr>
          <w:sz w:val="28"/>
          <w:szCs w:val="28"/>
        </w:rPr>
        <w:t xml:space="preserve"> Tuy nhiên, quy định này không áp dụng đối với: các phụ gia thuộc nhóm thuốc trị cầu trùng (coccidiostats) và thuốc trị bệnh tích huyết trùng (histomonostats); các giấy phép khẩn cấp được cấp theo Điều 15; các giấy phép mà hồ sơ xin gia hạn chưa được nộp đúng thời hạn trước khi các quy định mới có hiệu lực hoặc đã được nộp nhưng sau đó bị rút lại; và các giấy phép mà hồ sơ xin gia hạn đã được nộp trước khi các quy định mới có hiệu lực nhưng đến thời điểm đó vẫn chưa có quyết định được ban hành.</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43</w:t>
      </w:r>
      <w:r w:rsidR="00727C11" w:rsidRPr="009F7625">
        <w:rPr>
          <w:sz w:val="28"/>
          <w:szCs w:val="28"/>
        </w:rPr>
        <w:t>.</w:t>
      </w:r>
      <w:r w:rsidR="00191A96" w:rsidRPr="009F7625">
        <w:rPr>
          <w:sz w:val="28"/>
          <w:szCs w:val="28"/>
        </w:rPr>
        <w:t xml:space="preserve"> </w:t>
      </w:r>
      <w:r w:rsidR="00C30C58" w:rsidRPr="009F7625">
        <w:rPr>
          <w:sz w:val="28"/>
          <w:szCs w:val="28"/>
        </w:rPr>
        <w:t>Các hồ sơ đề nghị gia hạn giấy phép đã được nộp trước thời điểm Quy định này có hiệu lực và đến thời điểm đó vẫn chưa có quyết định về việc gia hạn cần tiếp tục được xử lý theo các quy định tại Điều 14 áp dụng tại thời điểm nộp hồ sơ</w:t>
      </w:r>
      <w:r w:rsidRPr="009F7625">
        <w:rPr>
          <w:sz w:val="28"/>
          <w:szCs w:val="28"/>
        </w:rPr>
        <w:t>.</w:t>
      </w:r>
      <w:r w:rsidR="00C30C58" w:rsidRPr="009F7625">
        <w:rPr>
          <w:sz w:val="28"/>
          <w:szCs w:val="28"/>
        </w:rPr>
        <w:t xml:space="preserve"> Tuy nhiên, các giấy phép được gia hạn sau khi Quy định này có hiệu lực sẽ có thời hạn không xác định. Ngoài ra, quy định mới về việc cấp phép với thời hạn không xác định không làm ảnh hưởng đến việc xử lý các thủ tục hiện đang được tiến hành đối với các hồ sơ được nộp theo Khoản 2 Điều 10 của Quy định (EC) số 1831/2003.</w:t>
      </w:r>
    </w:p>
    <w:p w:rsidR="00C30C58"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44</w:t>
      </w:r>
      <w:r w:rsidR="00727C11" w:rsidRPr="009F7625">
        <w:rPr>
          <w:sz w:val="28"/>
          <w:szCs w:val="28"/>
        </w:rPr>
        <w:t>.</w:t>
      </w:r>
      <w:r w:rsidR="001A6BED" w:rsidRPr="009F7625">
        <w:rPr>
          <w:sz w:val="28"/>
          <w:szCs w:val="28"/>
        </w:rPr>
        <w:t xml:space="preserve"> </w:t>
      </w:r>
      <w:r w:rsidR="00C30C58" w:rsidRPr="009F7625">
        <w:rPr>
          <w:sz w:val="28"/>
          <w:szCs w:val="28"/>
        </w:rPr>
        <w:t>Việc thực hiện các thủ tục sửa đổi giấy phép đối với phụ gia thức ăn chăn nuôi theo quy định tại Quy định (EC) số 1831/2003 trong một số trường hợp còn quá phức tạp hoặc cần được cải thiện về tính rõ ràng và tính nhất quán</w:t>
      </w:r>
      <w:r w:rsidRPr="009F7625">
        <w:rPr>
          <w:sz w:val="28"/>
          <w:szCs w:val="28"/>
        </w:rPr>
        <w:t xml:space="preserve">. </w:t>
      </w:r>
      <w:r w:rsidR="00C30C58" w:rsidRPr="009F7625">
        <w:rPr>
          <w:sz w:val="28"/>
          <w:szCs w:val="28"/>
        </w:rPr>
        <w:t>Đặc biệt, các yêu cầu liên quan đến việc thay đổi chủ sở hữu giấy phép nên được xử lý như một thay đổi mang tính hành chính và được cập nhật trong Sổ đăng ký Cộng đồng về phụ gia thức ăn chăn nuôi (Community Register of Feed Additives), thay vì được quy định trực tiếp trong nội dung của các Quy định cấp phép. Nhằm bảo đảm các điều kiện thực hiện thống nhất Quy định (EC) số 1831/2003, cần trao cho Ủy ban</w:t>
      </w:r>
      <w:r w:rsidR="003F0AEC" w:rsidRPr="009F7625">
        <w:rPr>
          <w:sz w:val="28"/>
          <w:szCs w:val="28"/>
        </w:rPr>
        <w:t xml:space="preserve"> thẩm quyền để</w:t>
      </w:r>
      <w:r w:rsidR="00C30C58" w:rsidRPr="009F7625">
        <w:rPr>
          <w:sz w:val="28"/>
          <w:szCs w:val="28"/>
        </w:rPr>
        <w:t xml:space="preserve"> thực hiện sửa đổi các Quy định cấp phép đã được ban </w:t>
      </w:r>
      <w:r w:rsidR="00C30C58" w:rsidRPr="009F7625">
        <w:rPr>
          <w:sz w:val="28"/>
          <w:szCs w:val="28"/>
        </w:rPr>
        <w:lastRenderedPageBreak/>
        <w:t xml:space="preserve">hành trước khi Quy định này có hiệu lực nhằm loại bỏ tên chủ sở hữu giấy phép khỏi các Quy định </w:t>
      </w:r>
      <w:r w:rsidR="003F0AEC" w:rsidRPr="009F7625">
        <w:rPr>
          <w:sz w:val="28"/>
          <w:szCs w:val="28"/>
        </w:rPr>
        <w:t>đó</w:t>
      </w:r>
      <w:r w:rsidR="00C30C58" w:rsidRPr="009F7625">
        <w:rPr>
          <w:sz w:val="28"/>
          <w:szCs w:val="28"/>
        </w:rPr>
        <w:t xml:space="preserve"> và chuyển thông tin này sang ghi nhận trong Sổ đăng ký Cộng đồng về phụ gia thức ăn chăn nuôi. Các </w:t>
      </w:r>
      <w:r w:rsidR="003F0AEC" w:rsidRPr="009F7625">
        <w:rPr>
          <w:sz w:val="28"/>
          <w:szCs w:val="28"/>
        </w:rPr>
        <w:t>thẩm quyền</w:t>
      </w:r>
      <w:r w:rsidR="00C30C58" w:rsidRPr="009F7625">
        <w:rPr>
          <w:sz w:val="28"/>
          <w:szCs w:val="28"/>
        </w:rPr>
        <w:t xml:space="preserve"> này cần được thực hiện phù hợp với quy định tại Quy định (EU) số 182/2011 của Nghị viện Châu Âu và Hội đồng.</w:t>
      </w:r>
    </w:p>
    <w:p w:rsidR="00727C11"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45</w:t>
      </w:r>
      <w:r w:rsidR="00727C11" w:rsidRPr="009F7625">
        <w:rPr>
          <w:sz w:val="28"/>
          <w:szCs w:val="28"/>
        </w:rPr>
        <w:t>.</w:t>
      </w:r>
      <w:r w:rsidR="00191A96" w:rsidRPr="009F7625">
        <w:rPr>
          <w:sz w:val="28"/>
          <w:szCs w:val="28"/>
        </w:rPr>
        <w:t xml:space="preserve"> </w:t>
      </w:r>
      <w:r w:rsidR="003F0AEC" w:rsidRPr="009F7625">
        <w:rPr>
          <w:sz w:val="28"/>
          <w:szCs w:val="28"/>
        </w:rPr>
        <w:t>Ngoài ra, cần cho phép các bên liên quan nộp hồ sơ đề nghị sửa đổi đối với giấy phép không gắn với một chủ thể được cấp phép cụ thể, tương tự như cơ chế hiện đã được áp dụng đối với giấy phép gắn với chủ thể được cấp phép cụ thể, nhằm xem xét khả năng mở rộng các thông số kỹ thuật hoặc các điều kiện được quy định trong giấy phép đó. Việc hiện chưa có thủ tục này buộc các tổ chức, cá nhân có nhu cầu sửa đổi một giấy phép không gắn với chủ thể được cấp phép cụ thể phải nộp lại đầy đủ hồ sơ đề nghị cấp phép mới, qua đó làm phát sinh gánh nặng không cần thiết</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46</w:t>
      </w:r>
      <w:r w:rsidR="00727C11" w:rsidRPr="009F7625">
        <w:rPr>
          <w:sz w:val="28"/>
          <w:szCs w:val="28"/>
        </w:rPr>
        <w:t>.</w:t>
      </w:r>
      <w:r w:rsidR="00191A96" w:rsidRPr="009F7625">
        <w:rPr>
          <w:sz w:val="28"/>
          <w:szCs w:val="28"/>
        </w:rPr>
        <w:t xml:space="preserve"> </w:t>
      </w:r>
      <w:r w:rsidR="003F0AEC" w:rsidRPr="009F7625">
        <w:rPr>
          <w:sz w:val="28"/>
          <w:szCs w:val="28"/>
        </w:rPr>
        <w:t>Hơn nữa, do áp dụng cơ chế cấp phép không xác định thời hạn mới, cần thiết lập một thủ tục cụ thể để sửa đổi các giấy phép nhằm điều chỉnh các phương pháp phân tích đối với phụ gia thức ăn chăn nuôi cho phù hợp với các tiến bộ khoa học và công nghệ, trên cơ sở báo cáo của Phòng thí nghiệm tham chiếu của Cộng đồng (Community reference laboratory)</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47</w:t>
      </w:r>
      <w:r w:rsidR="00191A96" w:rsidRPr="009F7625">
        <w:rPr>
          <w:spacing w:val="-2"/>
          <w:sz w:val="28"/>
          <w:szCs w:val="28"/>
        </w:rPr>
        <w:t>.</w:t>
      </w:r>
      <w:r w:rsidRPr="009F7625">
        <w:rPr>
          <w:spacing w:val="-2"/>
          <w:sz w:val="28"/>
          <w:szCs w:val="28"/>
        </w:rPr>
        <w:t xml:space="preserve"> </w:t>
      </w:r>
      <w:r w:rsidR="006F4B04" w:rsidRPr="009F7625">
        <w:rPr>
          <w:spacing w:val="-2"/>
          <w:sz w:val="28"/>
          <w:szCs w:val="28"/>
        </w:rPr>
        <w:t>Cuối cùng, nhằm bảo đảm các điều kiện thực hiện thống nhất Quy định (EC) số 1831/2003 liên quan đến việc sửa đổi các giấy phép, cần trao cho Ủy ban thẩm quyền thực hiện. Các thẩm quyền này phải được thực hiện phù hợp với Quy định (EU) số 182/2011 của Nghị viện Châu Âu và Hội đồng. Do đó, các Điều 2, 3, 9 và 13 của Quy định (EC) số 1831/2003 cần được sửa đổi tương ứng.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48</w:t>
      </w:r>
      <w:r w:rsidR="00727C11" w:rsidRPr="009F7625">
        <w:rPr>
          <w:sz w:val="28"/>
          <w:szCs w:val="28"/>
        </w:rPr>
        <w:t>.</w:t>
      </w:r>
      <w:r w:rsidR="00191A96" w:rsidRPr="009F7625">
        <w:rPr>
          <w:sz w:val="28"/>
          <w:szCs w:val="28"/>
        </w:rPr>
        <w:t xml:space="preserve"> </w:t>
      </w:r>
      <w:r w:rsidR="006F4B04" w:rsidRPr="009F7625">
        <w:rPr>
          <w:sz w:val="28"/>
          <w:szCs w:val="28"/>
        </w:rPr>
        <w:t xml:space="preserve">Quy định (EC) số 1831/2003 quy định các yêu cầu về ghi nhãn áp dụng đối với phụ gia thức ăn chăn nuôi và các hỗn hợp trộn sẵn (premixtures), đồng thời yêu cầu phải thể hiện nhiều thông tin trên nhãn dưới dạng vật lý gắn trên bao bì hoặc vật chứa. Nhằm phù hợp với các phương thức ghi nhãn linh hoạt hơn được cho phép theo Quy định (EC) số 767/2009 của Nghị viện Châu Âu và Hội đồng đối với nguyên liệu thức ăn chăn nuôi và thức ăn hỗn hợp, cũng như tính đến sự phát triển của các phương tiện truyền thông kỹ thuật số mới, đồng thời tạo thêm sự linh hoạt trong thực tiễn ghi nhãn và giảm gánh nặng liên quan đến việc in ấn và cập nhật nhãn vật lý cho các tổ chức, cá nhân kinh doanh, cần cho phép việc ghi nhãn bằng phương tiện kỹ thuật số đối với một số thông tin không liên quan đến an toàn, với điều kiện bảo đảm khả năng tiếp cận và độ tin cậy. Tuy nhiên, để bảo đảm việc sử dụng phụ gia thức ăn chăn nuôi một cách an toàn, tất cả các thông tin quan trọng liên quan đến an toàn và các thông tin thiết yếu về điều kiện sử dụng, đặc biệt là các thông tin được quy định trong quyết định cấp phép, vẫn phải bắt buộc được thể hiện trên nhãn vật lý. Theo đó, trong khuôn khổ các yêu cầu đối với phụ gia thức ăn chăn nuôi và các hỗn hợp trộn sẵn, cần phân biệt giữa khái niệm “ghi nhãn” (labelling) và “nhãn” (label); các khái niệm này cần được định nghĩa rõ ràng, phù hợp với các định nghĩa tương ứng được quy định tại Quy định (EC) số 767/2009 nhằm bảo đảm tính nhất quán. Ngoài ra, cần làm rõ trách nhiệm về ghi nhãn, phù hợp với các quy định về ghi nhãn thức ăn chăn nuôi tại Quy định </w:t>
      </w:r>
      <w:r w:rsidR="006F4B04" w:rsidRPr="009F7625">
        <w:rPr>
          <w:sz w:val="28"/>
          <w:szCs w:val="28"/>
        </w:rPr>
        <w:lastRenderedPageBreak/>
        <w:t>(EC) số 767/2009. Do đó, Điều 2 và Điều 16 của Quy định (EC) số 1831/2003 cần được sửa đổi tương ứng.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49</w:t>
      </w:r>
      <w:r w:rsidR="00727C11" w:rsidRPr="009F7625">
        <w:rPr>
          <w:sz w:val="28"/>
          <w:szCs w:val="28"/>
        </w:rPr>
        <w:t>.</w:t>
      </w:r>
      <w:r w:rsidR="00191A96" w:rsidRPr="009F7625">
        <w:rPr>
          <w:sz w:val="28"/>
          <w:szCs w:val="28"/>
        </w:rPr>
        <w:t xml:space="preserve"> </w:t>
      </w:r>
      <w:r w:rsidR="006F4B04" w:rsidRPr="009F7625">
        <w:rPr>
          <w:sz w:val="28"/>
          <w:szCs w:val="28"/>
        </w:rPr>
        <w:t xml:space="preserve">Nhằm bảo đảm Quy định (EC) số 1831/2003 phù hợp với tiến bộ kỹ thuật và quá trình số hóa của xã hội, cần trao cho Ủy ban quyền ban hành các văn bản theo Điều 290 của Hiệp ước về Hoạt động của Liên minh Châu Âu nhằm bổ sung Quy định này bằng việc thiết lập các quy tắc để tăng cường và tạo thuận lợi cho việc ghi nhãn phụ gia thức ăn chăn nuôi và các hỗn hợp trộn sẵn (premixtures) thông qua việc sử dụng các phương tiện kỹ thuật số. Các quy tắc này có thể liên quan đến bản chất của thông tin được cung cấp, ngoại trừ các thông tin quan trọng liên quan đến an toàn và các thông tin thiết yếu về điều kiện sử dụng, cũng như loại phương tiện kỹ thuật số có thể được sử dụng. Điều đặc biệt quan trọng là Ủy ban phải tiến hành các tham vấn thích hợp trong quá trình chuẩn bị, bao gồm cả ở cấp độ chuyên gia, và các tham vấn này phải được thực hiện theo các nguyên tắc quy định tại Thỏa thuận liên thể chế ngày 13 tháng 4 năm 2016 về </w:t>
      </w:r>
      <w:r w:rsidR="001A6BED" w:rsidRPr="009F7625">
        <w:rPr>
          <w:sz w:val="28"/>
          <w:szCs w:val="28"/>
        </w:rPr>
        <w:t>l</w:t>
      </w:r>
      <w:r w:rsidR="006F4B04" w:rsidRPr="009F7625">
        <w:rPr>
          <w:sz w:val="28"/>
          <w:szCs w:val="28"/>
        </w:rPr>
        <w:t>ập pháp tốt hơn</w:t>
      </w:r>
      <w:r w:rsidRPr="009F7625">
        <w:rPr>
          <w:sz w:val="28"/>
          <w:szCs w:val="28"/>
        </w:rPr>
        <w:t>.</w:t>
      </w:r>
      <w:r w:rsidR="006F4B04" w:rsidRPr="009F7625">
        <w:rPr>
          <w:sz w:val="28"/>
          <w:szCs w:val="28"/>
        </w:rPr>
        <w:t xml:space="preserve"> Bên cạnh đó, để bảo đảm sự tham gia bình đẳng trong quá trình chuẩn bị các văn bản được ủy quyền (delegated acts), Nghị viện Châu Âu và Hội đồng phải nhận được tất cả các tài liệu cùng thời điểm với các chuyên gia của các quốc gia thành viên, và các chuyên gia của hai cơ quan này phải được tiếp cận một cách có hệ thống các cuộc họp của các nhóm chuyên gia của Ủy ban liên quan đến việc chuẩn bị các văn bản được ủy quyền. Do đó, Điều 21a của Quy định (EC) số 1831/2003 cần được sửa đổi tương ứng.</w:t>
      </w:r>
    </w:p>
    <w:p w:rsidR="00727C11"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50</w:t>
      </w:r>
      <w:r w:rsidR="00727C11" w:rsidRPr="009F7625">
        <w:rPr>
          <w:sz w:val="28"/>
          <w:szCs w:val="28"/>
        </w:rPr>
        <w:t>.</w:t>
      </w:r>
      <w:r w:rsidR="00191A96" w:rsidRPr="009F7625">
        <w:rPr>
          <w:sz w:val="28"/>
          <w:szCs w:val="28"/>
        </w:rPr>
        <w:t xml:space="preserve"> </w:t>
      </w:r>
      <w:r w:rsidR="006F4B04" w:rsidRPr="009F7625">
        <w:rPr>
          <w:sz w:val="28"/>
          <w:szCs w:val="28"/>
        </w:rPr>
        <w:t>Quy định (EC) số 852/2004 quy định các yêu cầu vệ sinh đối với thực phẩm, trong khi Quy định (EC) số 853/2004 quy định các quy tắc vệ sinh cụ thể đối với thực phẩm có nguồn gốc động vật. Hai Quy định này thiết lập một thủ tục thông báo cụ thể mà các quốc gia thành viên phải tuân thủ khi có ý định ban hành các biện pháp quốc gia nhằm điều chỉnh các yêu cầu được quy định lần lượt tại Phụ lục II và Phụ lục III của các Quy định đó. Thủ tục này nhằm thông báo cho Ủy ban và các quốc gia thành viên về các biện pháp dự thảo, và được áp dụng trong trường hợp các quốc gia thành viên muốn điều chỉnh một số yêu cầu liên quan đến phương thức sản xuất truyền thống, các khu vực có hạn chế về địa lý, hoặc chỉ liên quan đến cấu trúc, bố trí và trang thiết bị. Ngoài ra, trong trường hợp các quốc gia thành viên muốn điều chỉnh các yêu cầu khác của các Phụ lục này, các biện pháp đó phải được thông báo theo quy định tại Chỉ thị (EU) số 2015/1535. Việc tồn tại hai thủ tục thông báo như vậy đã cho thấy là rườm rà và dễ gây nhầm lẫn. Do đó, cần đơn giản hóa các yêu cầu thông báo đối với các biện pháp quốc gia và điều chỉnh chúng cho phù hợp với các quy định chung của Chỉ thị nêu trên. Vì vậy, Quy định (EC) số 852/2004 và Quy định (EC) số 853/2004 cần được sửa đổi tương ứng.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51</w:t>
      </w:r>
      <w:r w:rsidR="00727C11" w:rsidRPr="009F7625">
        <w:rPr>
          <w:sz w:val="28"/>
          <w:szCs w:val="28"/>
        </w:rPr>
        <w:t>.</w:t>
      </w:r>
      <w:r w:rsidR="00191A96" w:rsidRPr="009F7625">
        <w:rPr>
          <w:sz w:val="28"/>
          <w:szCs w:val="28"/>
        </w:rPr>
        <w:t xml:space="preserve"> </w:t>
      </w:r>
      <w:r w:rsidR="007F5D7B" w:rsidRPr="009F7625">
        <w:rPr>
          <w:sz w:val="28"/>
          <w:szCs w:val="28"/>
        </w:rPr>
        <w:t xml:space="preserve">Quy định (EC) số 1099/2009 thiết lập các quy định tối thiểu về bảo vệ động vật tại thời điểm giết mổ hoặc tiêu hủy. Theo khoản 4 Điều 18 của Quy định (EC) số 1099/2009, hiện nay các cơ quan có thẩm quyền của các quốc gia thành viên phải gửi cho Ủy ban các báo cáo thường niên riêng về các hoạt động tiêu hủy đàn (depopulation) đã được thực hiện trong năm trước, ngoài các báo cáo thường </w:t>
      </w:r>
      <w:r w:rsidR="007F5D7B" w:rsidRPr="009F7625">
        <w:rPr>
          <w:sz w:val="28"/>
          <w:szCs w:val="28"/>
        </w:rPr>
        <w:lastRenderedPageBreak/>
        <w:t>niên được nộp theo Quy định (EU) 2017/625 về kiểm soát chính thức và các hoạt động chính thức khác. Tuy nhiên, mục tiêu của Quy định (EC) số 1099/2009 là bảo vệ động vật tại thời điểm bị giết. Các báo cáo thường niên về tuân thủ theo Quy định (EU) 2017/625 đã bao quát nội dung phúc lợi động vật trong quá trình giết, bao gồm cả trong các hoạt động tiêu hủy đàn, và do đó đã đủ để bảo đảm đạt được mục tiêu của Quy định (EC) số 1099/2009</w:t>
      </w:r>
      <w:r w:rsidRPr="009F7625">
        <w:rPr>
          <w:sz w:val="28"/>
          <w:szCs w:val="28"/>
        </w:rPr>
        <w:t>.</w:t>
      </w:r>
      <w:r w:rsidR="007F5D7B" w:rsidRPr="009F7625">
        <w:rPr>
          <w:sz w:val="28"/>
          <w:szCs w:val="28"/>
        </w:rPr>
        <w:t xml:space="preserve"> Việc tồn tại hai loại báo cáo riêng biệt như vậy chỉ mang lại giá trị gia tăng hạn chế và đồng thời làm phân tán nguồn lực của các cơ quan có thẩm quyền khỏi các hoạt động quản lý rủi ro. Ngoài ra, thông tin được cung cấp theo Quy định (EC) số 1099/2009 cũng cho thấy có giá trị hạn chế, do Quy định này không có các quy định bảo đảm việc phân tích đầy đủ và khả năng so sánh của các thông tin được báo cáo, đặc biệt khi so sánh với gánh nặng hành chính phát sinh từ việc chuẩn bị các báo cáo đó. Do vậy, nghĩa vụ báo cáo bổ sung này cần được bãi bỏ nhằm đơn giản hóa các yêu cầu và giảm gánh nặng hành chính đối với các cơ quan có thẩm quyền của các quốc gia thành viên.</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52</w:t>
      </w:r>
      <w:r w:rsidR="00727C11" w:rsidRPr="009F7625">
        <w:rPr>
          <w:sz w:val="28"/>
          <w:szCs w:val="28"/>
        </w:rPr>
        <w:t>.</w:t>
      </w:r>
      <w:r w:rsidR="00191A96" w:rsidRPr="009F7625">
        <w:rPr>
          <w:sz w:val="28"/>
          <w:szCs w:val="28"/>
        </w:rPr>
        <w:t xml:space="preserve"> </w:t>
      </w:r>
      <w:r w:rsidR="007F5D7B" w:rsidRPr="009F7625">
        <w:rPr>
          <w:sz w:val="28"/>
          <w:szCs w:val="28"/>
        </w:rPr>
        <w:t>Quy định (EC) số 999/2001 quy định các biện pháp phòng ngừa, kiểm soát và thanh toán một số bệnh não xốp lây truyền (transmissible spongiform encephalopathies – TSE) trong Liên minh. Điều 6 của Quy định (EC) số 999/2001 yêu cầu mỗi quốc gia thành viên phải thực hiện một chương trình giám sát hằng năm đối với bệnh não xốp lây truyền, dựa trên giám sát chủ động và giám sát thụ động theo quy định tại Phụ lục III; đồng thời quy định các nhóm quần thể động vật tối thiểu phải được bao phủ trong chương trình giám sát này đối với bệnh bò điên (bovine spongiform encephalopathy – BSE)</w:t>
      </w:r>
      <w:r w:rsidRPr="009F7625">
        <w:rPr>
          <w:sz w:val="28"/>
          <w:szCs w:val="28"/>
        </w:rPr>
        <w:t>.</w:t>
      </w:r>
      <w:r w:rsidR="007F5D7B" w:rsidRPr="009F7625">
        <w:rPr>
          <w:sz w:val="28"/>
          <w:szCs w:val="28"/>
        </w:rPr>
        <w:t xml:space="preserve"> Tại Kỳ họp toàn thể vào tháng 5 năm 2023, Tổ chức Thú y Thế giới (WOAH) đã sửa đổi Chương 11.4 “Bovine Spongiform Encephalopathy” của Bộ quy chuẩn sức khỏe động vật trên cạn (Terrestrial Animal Health Code) và cập nhật các tiêu chuẩn quốc tế liên quan đến quần thể bò và độ tuổi của các quần thể này phải được bao phủ trong hoạt động giám sát BSE. Mặc dù Điều 6 của Quy định (EC) số 999/2001 đã quy định rằng, sau khi tham vấn ủy ban khoa học thích hợp, ngưỡng độ tuổi được quy định đối với một số nhóm bò có thể được điều chỉnh theo tiến bộ khoa học theo thủ tục quy định tại khoản 3 Điều 24, các tiêu chuẩn quốc tế được cập nhật cũng yêu cầu điều chỉnh các nhóm quần thể bò tối thiểu phải được bao phủ trong chương trình giám sát. Do đó, nhằm bảo đảm sự phù hợp với tiến bộ của tri thức khoa học và các tiêu chuẩn quốc tế, Điều 6 cần được sửa đổi để cả ngưỡng độ tuổi và các nhóm quần thể bò được bao phủ trong chương trình giám sát đều có thể được điều chỉnh theo thủ tục quy định tại khoản 3 Điều 24.</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53</w:t>
      </w:r>
      <w:r w:rsidR="00727C11" w:rsidRPr="009F7625">
        <w:rPr>
          <w:sz w:val="28"/>
          <w:szCs w:val="28"/>
        </w:rPr>
        <w:t>.</w:t>
      </w:r>
      <w:r w:rsidR="00191A96" w:rsidRPr="009F7625">
        <w:rPr>
          <w:sz w:val="28"/>
          <w:szCs w:val="28"/>
        </w:rPr>
        <w:t xml:space="preserve"> </w:t>
      </w:r>
      <w:r w:rsidR="007F5D7B" w:rsidRPr="009F7625">
        <w:rPr>
          <w:sz w:val="28"/>
          <w:szCs w:val="28"/>
        </w:rPr>
        <w:t>Trong khuôn khổ các biện pháp nhằm phòng ngừa bệnh bò điên (bovine spongiform encephalopathy – BSE), Điều 8 của Quy định (EC) số 999/2001 quy định rằng các mô có mức độ lây nhiễm BSE cao nhất, được xác định là vật liệu nguy cơ đặc biệt (specified risk material – SRM), phải được loại bỏ và tiêu hủy theo quy định tại Phụ lục V. Điều này cũng quy định danh mục tối thiểu các mô phải được loại bỏ khỏi bò và ngưỡng độ tuổi của các con vật bị áp dụng việc loại bỏ này</w:t>
      </w:r>
      <w:r w:rsidRPr="009F7625">
        <w:rPr>
          <w:sz w:val="28"/>
          <w:szCs w:val="28"/>
        </w:rPr>
        <w:t>.</w:t>
      </w:r>
      <w:r w:rsidR="007F5D7B" w:rsidRPr="009F7625">
        <w:rPr>
          <w:sz w:val="28"/>
          <w:szCs w:val="28"/>
        </w:rPr>
        <w:t xml:space="preserve"> Tại Kỳ họp toàn thể vào tháng 5 năm 2023, Tổ chức Thú y Thế giới (WOAH) đã sửa đổi Chương 11.4 “Bovine Spongiform Encephalopathy” của Bộ </w:t>
      </w:r>
      <w:r w:rsidR="007F5D7B" w:rsidRPr="009F7625">
        <w:rPr>
          <w:sz w:val="28"/>
          <w:szCs w:val="28"/>
        </w:rPr>
        <w:lastRenderedPageBreak/>
        <w:t>quy chuẩn sức khỏe động vật trên cạn (Terrestrial Animal Health Code) và cập nhật các tiêu chuẩn quốc tế liên quan đến các sản phẩm có nguy cơ mang mức độ lây nhiễm BSE cao nhất, trên cơ sở phân loại mức độ rủi ro BSE của quốc gia nơi các sản phẩm đó có nguồn gốc.</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54</w:t>
      </w:r>
      <w:r w:rsidR="00727C11" w:rsidRPr="009F7625">
        <w:rPr>
          <w:sz w:val="28"/>
          <w:szCs w:val="28"/>
        </w:rPr>
        <w:t>.</w:t>
      </w:r>
      <w:r w:rsidR="00191A96" w:rsidRPr="009F7625">
        <w:rPr>
          <w:sz w:val="28"/>
          <w:szCs w:val="28"/>
        </w:rPr>
        <w:t xml:space="preserve"> </w:t>
      </w:r>
      <w:r w:rsidR="007F5D7B" w:rsidRPr="009F7625">
        <w:rPr>
          <w:sz w:val="28"/>
          <w:szCs w:val="28"/>
        </w:rPr>
        <w:t>Điều 8 của Quy định (EC) số 999/2001 quy định rằng, sau khi tham vấn ủy ban khoa học thích hợp, các dữ liệu liên quan đến độ tuổi của bò phải được xem xét khi xác định danh mục vật liệu nguy cơ đặc biệt (specified risk material – SRM) được quy định tại Phụ lục V của Quy định này</w:t>
      </w:r>
      <w:r w:rsidRPr="009F7625">
        <w:rPr>
          <w:sz w:val="28"/>
          <w:szCs w:val="28"/>
        </w:rPr>
        <w:t>.</w:t>
      </w:r>
      <w:r w:rsidR="007F5D7B" w:rsidRPr="009F7625">
        <w:rPr>
          <w:sz w:val="28"/>
          <w:szCs w:val="28"/>
        </w:rPr>
        <w:t xml:space="preserve"> Nhằm bảo đảm sự phù hợp kịp thời với các tiêu chuẩn quốc tế và tri thức khoa học đang phát triển, danh mục vật liệu nguy cơ đặc biệt được quy định tại Phụ lục V của Quy định này cũng cần được điều chỉnh, trong đó ít nhất phải tính đến phân loại mức độ rủi ro bệnh bò điên (BSE) của quốc gia nơi vật liệu đó có nguồn gốc.</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55</w:t>
      </w:r>
      <w:r w:rsidR="00727C11" w:rsidRPr="009F7625">
        <w:rPr>
          <w:sz w:val="28"/>
          <w:szCs w:val="28"/>
        </w:rPr>
        <w:t>.</w:t>
      </w:r>
      <w:r w:rsidR="00191A96" w:rsidRPr="009F7625">
        <w:rPr>
          <w:sz w:val="28"/>
          <w:szCs w:val="28"/>
        </w:rPr>
        <w:t xml:space="preserve"> </w:t>
      </w:r>
      <w:r w:rsidR="007F5D7B" w:rsidRPr="009F7625">
        <w:rPr>
          <w:sz w:val="28"/>
          <w:szCs w:val="28"/>
        </w:rPr>
        <w:t>Điều 16 của Quy định (EC) số 999/2001 quy định các quy tắc liên quan đến việc đưa ra thị trường một số sản phẩm có nguồn gốc động vật, bao gồm cả các hạn chế đối với gelatin và collagen có nguồn gốc từ xương động vật nhai lại. Tuy nhiên, Chương 11.4 đã được sửa đổi của Bộ quy chuẩn sức khỏe động vật trên cạn (Terrestrial Animal Health Code) về “Bovine Spongiform Encephalopathy”, được thông qua năm 2023, xác nhận rằng gelatin và collagen có nguồn gốc từ xương động vật nhai lại là các sản phẩm an toàn. Kết luận này cũng được củng cố thêm bởi ý kiến khoa học năm 2024 của Cơ quan An toàn Thực phẩm Châu Âu (EFSA) về nguy cơ BSE liên quan đến collagen và gelatin có nguồn gốc từ xương động vật nhai lại. Do đó, nhằm phản ánh cả các tiêu chuẩn quốc tế nêu trên cũng như các bằng chứng khoa học mới nhất trong lĩnh vực này, các quy định tại Điều 16 cần được sửa đổi để đưa các sản phẩm này, cụ thể là collagen và gelatin, vào phạm vi các sản phẩm không bị áp dụng hạn chế khi đưa ra thị trường</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56</w:t>
      </w:r>
      <w:r w:rsidR="00727C11" w:rsidRPr="009F7625">
        <w:rPr>
          <w:sz w:val="28"/>
          <w:szCs w:val="28"/>
        </w:rPr>
        <w:t>.</w:t>
      </w:r>
      <w:r w:rsidR="001A6BED" w:rsidRPr="009F7625">
        <w:rPr>
          <w:sz w:val="28"/>
          <w:szCs w:val="28"/>
        </w:rPr>
        <w:t xml:space="preserve"> </w:t>
      </w:r>
      <w:r w:rsidR="007F5D7B" w:rsidRPr="009F7625">
        <w:rPr>
          <w:sz w:val="28"/>
          <w:szCs w:val="28"/>
        </w:rPr>
        <w:t>Nhằm bảo đảm sự phù hợp kịp thời với các tiêu chuẩn quốc tế và tri thức khoa học đang phát triển, danh mục các sản phẩm có nguồn gốc động vật từ động vật nhai lại khỏe mạnh không bị áp dụng các hạn chế đối với việc đưa ra thị trường hoặc, khi cần thiết, xuất khẩu theo quy định tại Điều 16 của Quy định (EC) số 999/2001, cũng như tại Phụ lục VIII, các Chương C và D, và tại Phụ lục IX, các Chương A, C, F và G, cũng cần được điều chỉnh theo thủ tục quy định tại khoản 3 Điều 24 của Quy định đó</w:t>
      </w:r>
      <w:r w:rsidRPr="009F7625">
        <w:rPr>
          <w:sz w:val="28"/>
          <w:szCs w:val="28"/>
        </w:rPr>
        <w: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57</w:t>
      </w:r>
      <w:r w:rsidR="00727C11" w:rsidRPr="009F7625">
        <w:rPr>
          <w:sz w:val="28"/>
          <w:szCs w:val="28"/>
        </w:rPr>
        <w:t>.</w:t>
      </w:r>
      <w:r w:rsidR="001A6BED" w:rsidRPr="009F7625">
        <w:rPr>
          <w:sz w:val="28"/>
          <w:szCs w:val="28"/>
        </w:rPr>
        <w:t xml:space="preserve"> </w:t>
      </w:r>
      <w:r w:rsidR="007F5D7B" w:rsidRPr="009F7625">
        <w:rPr>
          <w:sz w:val="28"/>
          <w:szCs w:val="28"/>
        </w:rPr>
        <w:t xml:space="preserve">Điều 23 và Điều 23a của Quy định (EC) số 999/2001 hiện trao quyền cho Ủy ban sửa đổi các yếu tố không thiết yếu của Quy định này, bao gồm cả việc bổ sung Quy định, thông qua thủ tục quy định có kiểm soát (regulatory procedure with scrutiny) được quy định tại khoản 3 Điều 24. Nhằm đạt được các mục tiêu của Quy định (EC) số 999/2001 và bảo đảm khả năng thích ứng kịp thời với các diễn biến của tình hình dịch tễ, tiến bộ của tri thức khoa học và các tiêu chuẩn quốc tế, cần thay thế các thẩm quyền này bằng việc ban hành các văn bản được ủy quyền (delegated acts) theo Điều 290 của Hiệp ước. Do đó, cần trao quyền cho Ủy ban sửa đổi các phụ lục và bổ sung Quy định này. Cụ thể, liên quan đến việc phê duyệt các xét nghiệm nhanh và các xét nghiệm thay thế, việc điều chỉnh các </w:t>
      </w:r>
      <w:r w:rsidR="007F5D7B" w:rsidRPr="009F7625">
        <w:rPr>
          <w:sz w:val="28"/>
          <w:szCs w:val="28"/>
        </w:rPr>
        <w:lastRenderedPageBreak/>
        <w:t>yêu cầu về giám sát và theo dõi bệnh bò điên (bovine spongiform encephalopathy – BSE), danh mục vật liệu nguy cơ đặc biệt (specified risk material – SRM), cũng như các điều kiện đối với việc đưa ra thị trường hoặc, khi thích hợp, xuất khẩu các sản phẩm có nguồn gốc động vật từ động vật nhai lại khỏe mạnh</w:t>
      </w:r>
      <w:r w:rsidRPr="009F7625">
        <w:rPr>
          <w:sz w:val="28"/>
          <w:szCs w:val="28"/>
        </w:rPr>
        <w:t>.</w:t>
      </w:r>
      <w:r w:rsidR="007F5D7B" w:rsidRPr="009F7625">
        <w:rPr>
          <w:sz w:val="28"/>
          <w:szCs w:val="28"/>
        </w:rPr>
        <w:t xml:space="preserve"> Quy định (EU) 2017/625 thiết lập các quy tắc về việc thực hiện các kiểm soát chính thức bởi các cơ quan có thẩm quyền của các quốc gia thành viên, trong đó có việc kiểm soát đối với động vật và hàng hóa nhập cảnh vào Liên minh nhằm xác minh việc tuân thủ pháp luật của Liên minh trong chuỗi nông sản – thực phẩm. Khoản 3 Điều 50 của Quy định (EU) 2017/625 chỉ cho phép tách lô hàng sau khi việc kiểm soát chính thức đã hoàn tất và Tài liệu nhập cảnh y tế chung (Common Health Entry Document – CHED) đã được hoàn tất; điều này đồng nghĩa với việc một lô hàng không thể được giải phóng cho đến khi tất cả các kiểm tra cần thiết đối với lô hàng đó đã được hoàn thành.</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58</w:t>
      </w:r>
      <w:r w:rsidR="00727C11" w:rsidRPr="009F7625">
        <w:rPr>
          <w:sz w:val="28"/>
          <w:szCs w:val="28"/>
        </w:rPr>
        <w:t>.</w:t>
      </w:r>
      <w:r w:rsidR="001A6BED" w:rsidRPr="009F7625">
        <w:rPr>
          <w:sz w:val="28"/>
          <w:szCs w:val="28"/>
        </w:rPr>
        <w:t xml:space="preserve"> </w:t>
      </w:r>
      <w:r w:rsidR="00CF6D3C" w:rsidRPr="009F7625">
        <w:rPr>
          <w:sz w:val="28"/>
          <w:szCs w:val="28"/>
        </w:rPr>
        <w:t>Quy định (EU) 2017/625 quy định các quy tắc về việc thực hiện kiểm soát chính thức bởi các cơ quan có thẩm quyền của các quốc gia thành viên, trong đó có việc kiểm soát đối với động vật và hàng hóa nhập cảnh vào Liên minh nhằm xác minh việc tuân thủ pháp luật của Liên minh trong chuỗi nông sản – thực phẩm</w:t>
      </w:r>
      <w:r w:rsidRPr="009F7625">
        <w:rPr>
          <w:sz w:val="28"/>
          <w:szCs w:val="28"/>
        </w:rPr>
        <w:t>.</w:t>
      </w:r>
      <w:r w:rsidR="00CF6D3C" w:rsidRPr="009F7625">
        <w:rPr>
          <w:sz w:val="28"/>
          <w:szCs w:val="28"/>
        </w:rPr>
        <w:t xml:space="preserve"> Khoản 3 Điều 50 của Quy định (EU) 2017/625 chỉ cho phép tách lô hàng sau khi việc kiểm soát chính thức đã được hoàn tất và Tài liệu nhập cảnh y tế chung (Common Health Entry Document – CHED) đã được hoàn thành; điều này có nghĩa là một lô hàng không thể được giải phóng cho đến khi tất cả các kiểm tra cần thiết đối với lô hàng đó đã được hoàn tất.</w:t>
      </w:r>
    </w:p>
    <w:p w:rsidR="00727C11"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59</w:t>
      </w:r>
      <w:r w:rsidR="00727C11" w:rsidRPr="009F7625">
        <w:rPr>
          <w:sz w:val="28"/>
          <w:szCs w:val="28"/>
        </w:rPr>
        <w:t>.</w:t>
      </w:r>
      <w:r w:rsidR="001A6BED" w:rsidRPr="009F7625">
        <w:rPr>
          <w:sz w:val="28"/>
          <w:szCs w:val="28"/>
        </w:rPr>
        <w:t xml:space="preserve"> </w:t>
      </w:r>
      <w:r w:rsidR="00CF6D3C" w:rsidRPr="009F7625">
        <w:rPr>
          <w:sz w:val="28"/>
          <w:szCs w:val="28"/>
        </w:rPr>
        <w:t>Các lô hàng thuộc phạm vi các quy định được quy định tại điểm (g) Khoản 2 Điều 1 của Quy định (EU) 2017/625 có thể bao gồm các loại cây trồng và sản phẩm thực vật thuộc nhiều loại, nhóm hoặc mô tả khác nhau nhưng được ghi trong cùng một giấy chứng nhận kiểm dịch thực vật chính thức. Do sự đa dạng của các loại cây trồng và sản phẩm thực vật trong cùng một lô hàng, từng mặt hàng được bao phủ bởi cùng một giấy chứng nhận kiểm dịch thực vật có thể phải chịu các hình thức kiểm tra vật lý khác nhau với thời gian thực hiện khác nhau. Trong một số trường hợp, một số mặt hàng có thể được giải phóng ngay lập tức, trong khi các mặt hàng khác phải bị lưu giữ chờ kết quả phân tích phòng thí nghiệm. Đối với các sản phẩm dễ hư hỏng có thời hạn sử dụng ngắn, tình huống này đôi khi có thể dẫn đến việc hư hỏng hoặc thậm chí mất toàn bộ các sản phẩm không phải chịu bất kỳ phân tích phòng thí nghiệm nào.</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60</w:t>
      </w:r>
      <w:r w:rsidR="00727C11" w:rsidRPr="009F7625">
        <w:rPr>
          <w:sz w:val="28"/>
          <w:szCs w:val="28"/>
        </w:rPr>
        <w:t>.</w:t>
      </w:r>
      <w:r w:rsidR="001A6BED" w:rsidRPr="009F7625">
        <w:rPr>
          <w:sz w:val="28"/>
          <w:szCs w:val="28"/>
        </w:rPr>
        <w:t xml:space="preserve"> </w:t>
      </w:r>
      <w:r w:rsidR="00CF6D3C" w:rsidRPr="009F7625">
        <w:rPr>
          <w:sz w:val="28"/>
          <w:szCs w:val="28"/>
        </w:rPr>
        <w:t>Nhằm bảo đảm các kiểm soát chính thức được thực hiện tại các trạm kiểm soát biên giới mà không gây ra sự chậm trễ không cần thiết hoặc tổn thất tài chính cho các tổ chức, cá nhân kinh doanh, đồng thời không làm suy giảm mức độ bảo vệ kiểm dịch thực vật đối với lãnh thổ của Liên minh, khoản 3 Điều 50 của Quy định (EU) 2017/625 cần được sửa đổi để cho phép các cơ quan có thẩm quyền tại các trạm kiểm soát biên giới tách lô hàng đối với cây trồng và sản phẩm thực vật trước khi hoàn tất kiểm soát chính thức đối với toàn bộ lô hàng, nhằm cho phép giải phóng những phần của lô hàng mà việc kiểm soát chính thức đã được hoàn tất.</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lastRenderedPageBreak/>
        <w:t>61</w:t>
      </w:r>
      <w:r w:rsidR="00727C11" w:rsidRPr="009F7625">
        <w:rPr>
          <w:sz w:val="28"/>
          <w:szCs w:val="28"/>
        </w:rPr>
        <w:t>.</w:t>
      </w:r>
      <w:r w:rsidR="001A6BED" w:rsidRPr="009F7625">
        <w:rPr>
          <w:sz w:val="28"/>
          <w:szCs w:val="28"/>
        </w:rPr>
        <w:t xml:space="preserve"> </w:t>
      </w:r>
      <w:r w:rsidR="00CF6D3C" w:rsidRPr="009F7625">
        <w:rPr>
          <w:sz w:val="28"/>
          <w:szCs w:val="28"/>
        </w:rPr>
        <w:t>Quy định (EU) 2017/625 quy định rằng các phân tích, thử nghiệm và chẩn đoán trong phòng thí nghiệm đối với các mẫu được lấy trong quá trình thực hiện kiểm soát chính thức và các hoạt động chính thức khác phải được thực hiện bởi các phòng thí nghiệm chính thức được các cơ quan có thẩm quyền của các quốc gia thành viên chỉ định. Các phòng thí nghiệm chính thức này được hỗ trợ bởi các phòng thí nghiệm tham chiếu quốc gia do các quốc gia thành viên chỉ định, cũng như bởi các phòng thí nghiệm tham chiếu của Liên minh Châu Âu do Ủy ban chỉ định.</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62</w:t>
      </w:r>
      <w:r w:rsidR="00727C11" w:rsidRPr="009F7625">
        <w:rPr>
          <w:sz w:val="28"/>
          <w:szCs w:val="28"/>
        </w:rPr>
        <w:t>.</w:t>
      </w:r>
      <w:r w:rsidR="001A6BED" w:rsidRPr="009F7625">
        <w:rPr>
          <w:sz w:val="28"/>
          <w:szCs w:val="28"/>
        </w:rPr>
        <w:t xml:space="preserve"> </w:t>
      </w:r>
      <w:r w:rsidR="00CF6D3C" w:rsidRPr="009F7625">
        <w:rPr>
          <w:sz w:val="28"/>
          <w:szCs w:val="28"/>
        </w:rPr>
        <w:t>Theo điểm e Khoản 4 Điều 37, điểm (a) khoản 3 Điều 93 và khoản 2 Điều 100 của Quy định (EU) 2017/625, các phòng thí nghiệm chính thức, các phòng thí nghiệm tham chiếu của Liên minh Châu Âu và các phòng thí nghiệm tham chiếu quốc gia phải hoạt động và được công nhận theo tiêu chuẩn EN ISO/IEC 17025. Tuy nhiên, trong một số trường hợp nhất định, chẳng hạn như đối với việc phân tích một số mối nguy sinh học liên quan đến an toàn thực phẩm, các kết quả chính xác và đáng tin cậy vẫn có thể được bảo đảm thông qua việc công nhận theo các tiêu chuẩn khác. Do đó, cần cho phép chỉ định làm phòng thí nghiệm chính thức, phòng thí nghiệm tham chiếu của Liên minh Châu Âu và phòng thí nghiệm tham chiếu quốc gia đối với các phòng thí nghiệm hoạt động và được công nhận theo tiêu chuẩn khác với EN ISO/IEC 17025, với điều kiện các phòng thí nghiệm đó đáp ứng các điều kiện do Ủy ban quy định thông qua các văn bản được ủy quyền. Vì vậy, các Điều 41, 93 và 100 của Quy định (EU) 2017/625 cần được sửa đổi tương ứng.</w:t>
      </w:r>
    </w:p>
    <w:p w:rsidR="003C1BEA" w:rsidRPr="009F7625" w:rsidRDefault="003C1BEA" w:rsidP="001A6BED">
      <w:pPr>
        <w:pStyle w:val="ds-markdown-paragraph"/>
        <w:shd w:val="clear" w:color="auto" w:fill="FFFFFF"/>
        <w:spacing w:before="120" w:beforeAutospacing="0" w:after="120" w:afterAutospacing="0"/>
        <w:ind w:firstLine="709"/>
        <w:jc w:val="both"/>
        <w:rPr>
          <w:sz w:val="28"/>
          <w:szCs w:val="28"/>
        </w:rPr>
      </w:pPr>
      <w:r w:rsidRPr="009F7625">
        <w:rPr>
          <w:sz w:val="28"/>
          <w:szCs w:val="28"/>
        </w:rPr>
        <w:t>6</w:t>
      </w:r>
      <w:r w:rsidR="00727C11" w:rsidRPr="009F7625">
        <w:rPr>
          <w:sz w:val="28"/>
          <w:szCs w:val="28"/>
        </w:rPr>
        <w:t>3.</w:t>
      </w:r>
      <w:r w:rsidR="001A6BED" w:rsidRPr="009F7625">
        <w:rPr>
          <w:sz w:val="28"/>
          <w:szCs w:val="28"/>
        </w:rPr>
        <w:t xml:space="preserve"> </w:t>
      </w:r>
      <w:r w:rsidR="00CF6D3C" w:rsidRPr="009F7625">
        <w:rPr>
          <w:sz w:val="28"/>
          <w:szCs w:val="28"/>
        </w:rPr>
        <w:t>Theo điểm a Khoản 3 Điều 93 và khoản 2 Điều 100 của Quy định (EU) 2017/625, phạm vi công nhận của các phòng thí nghiệm tham chiếu của Liên minh Châu Âu và các phòng thí nghiệm tham chiếu quốc gia phải bao gồm tất cả các phương pháp phân tích, thử nghiệm hoặc chẩn đoán trong phòng thí nghiệm mà các phòng thí nghiệm này sử dụng khi thực hiện chức năng phòng thí nghiệm tham chiếu. Tuy nhiên, việc công nhận là một quá trình phức tạp và tốn kém, gây ra gánh nặng đáng kể, đặc biệt trong các trường hợp mà số lượng lớn các loài gây hại, chất ô nhiễm và loại mẫu khác nhau kéo theo số lượng lớn các phương pháp thử nghiệm cần được áp dụng. Việc công nhận đối với tất cả các tổ hợp phương pháp có thể có trong các lĩnh vực như sức khỏe thực vật, vật liệu tiếp xúc với thực phẩm, phụ gia thức ăn chăn nuôi và phụ gia thực phẩm, enzyme thực phẩm và chất tạo hương gây ra gánh nặng đáng kể về thời gian và nguồn lực đối với các phòng thí nghiệm tham chiếu của Liên minh Châu Âu và các phòng thí nghiệm tham chiếu quốc gia</w:t>
      </w:r>
      <w:r w:rsidRPr="009F7625">
        <w:rPr>
          <w:sz w:val="28"/>
          <w:szCs w:val="28"/>
        </w:rPr>
        <w:t>.</w:t>
      </w:r>
      <w:r w:rsidR="00CF6D3C" w:rsidRPr="009F7625">
        <w:rPr>
          <w:sz w:val="28"/>
          <w:szCs w:val="28"/>
        </w:rPr>
        <w:t xml:space="preserve"> Do đó, nhằm bảo đảm tính linh hoạt và tính tương xứng của cách tiếp cận mà không ảnh hưởng đến độ tin cậy và tính chính xác của kết quả, cần cho phép chỉ định làm phòng thí nghiệm tham chiếu của Liên minh Châu Âu và phòng thí nghiệm tham chiếu quốc gia đối với các phòng thí nghiệm chưa được công nhận đối với tất cả các phương pháp mà họ sử dụng trong kiểm soát chính thức và các hoạt động chính thức khác, với điều kiện các phòng thí nghiệm đó đáp ứng các điều kiện do Ủy ban quy định thông qua các văn bản được ủy quyền. Vì vậy, các Điều 93 và 100 của Quy định (EU) 2017/625 cần được sửa đổi tương ứng.</w:t>
      </w:r>
    </w:p>
    <w:p w:rsidR="00CF6D3C" w:rsidRPr="009F7625" w:rsidRDefault="00CF6D3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p>
    <w:p w:rsidR="00CF6D3C" w:rsidRPr="009F7625" w:rsidRDefault="00CF6D3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p>
    <w:p w:rsidR="00727C11" w:rsidRPr="009F7625" w:rsidRDefault="00727C11"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p>
    <w:p w:rsidR="00727C11" w:rsidRPr="009F7625" w:rsidRDefault="00727C11"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p>
    <w:p w:rsidR="00603B23" w:rsidRPr="009F7625" w:rsidRDefault="00603B23">
      <w:pPr>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br w:type="page"/>
      </w:r>
    </w:p>
    <w:p w:rsidR="003C1BEA" w:rsidRPr="009F7625" w:rsidRDefault="003C1BEA" w:rsidP="00603B23">
      <w:pPr>
        <w:shd w:val="clear" w:color="auto" w:fill="FFFFFF"/>
        <w:spacing w:before="120" w:after="120" w:line="360" w:lineRule="atLeast"/>
        <w:ind w:firstLine="709"/>
        <w:jc w:val="center"/>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lastRenderedPageBreak/>
        <w:t>ĐÃ THÔNG QUA QUY ĐỊNH NÀY:</w:t>
      </w:r>
    </w:p>
    <w:p w:rsidR="00CF6D3C" w:rsidRPr="009F7625" w:rsidRDefault="00D0123C"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1 </w:t>
      </w:r>
    </w:p>
    <w:p w:rsidR="003C1BEA" w:rsidRPr="009F7625" w:rsidRDefault="00D0123C"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(EC) SỐ 1107/2009</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số 1107/2009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w:t>
      </w:r>
      <w:r w:rsidR="00232D16" w:rsidRPr="009F7625">
        <w:rPr>
          <w:rFonts w:ascii="Times New Roman" w:eastAsia="Times New Roman" w:hAnsi="Times New Roman" w:cs="Times New Roman"/>
          <w:sz w:val="28"/>
          <w:szCs w:val="28"/>
        </w:rPr>
        <w:t>.</w:t>
      </w:r>
      <w:r w:rsidRPr="009F7625">
        <w:rPr>
          <w:rFonts w:ascii="Times New Roman" w:eastAsia="Times New Roman" w:hAnsi="Times New Roman" w:cs="Times New Roman"/>
          <w:sz w:val="28"/>
          <w:szCs w:val="28"/>
        </w:rPr>
        <w:t xml:space="preserve"> Điều 2 được sửa đổi như sau:</w:t>
      </w:r>
    </w:p>
    <w:p w:rsidR="00232D1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232D16" w:rsidRPr="009F7625">
        <w:rPr>
          <w:rFonts w:ascii="Times New Roman" w:eastAsia="Times New Roman" w:hAnsi="Times New Roman" w:cs="Times New Roman"/>
          <w:sz w:val="28"/>
          <w:szCs w:val="28"/>
        </w:rPr>
        <w:t>Điểm b Khoản 1</w:t>
      </w:r>
      <w:r w:rsidRPr="009F7625">
        <w:rPr>
          <w:rFonts w:ascii="Times New Roman" w:eastAsia="Times New Roman" w:hAnsi="Times New Roman" w:cs="Times New Roman"/>
          <w:sz w:val="28"/>
          <w:szCs w:val="28"/>
        </w:rPr>
        <w:t xml:space="preserve"> được thay thế bằng </w:t>
      </w:r>
      <w:r w:rsidR="00232D16" w:rsidRPr="009F7625">
        <w:rPr>
          <w:rFonts w:ascii="Times New Roman" w:eastAsia="Times New Roman" w:hAnsi="Times New Roman" w:cs="Times New Roman"/>
          <w:sz w:val="28"/>
          <w:szCs w:val="28"/>
        </w:rPr>
        <w:t>nội dung sau</w:t>
      </w:r>
    </w:p>
    <w:p w:rsidR="00232D1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232D16" w:rsidRPr="009F7625">
        <w:rPr>
          <w:rFonts w:ascii="Times New Roman" w:eastAsia="Times New Roman" w:hAnsi="Times New Roman" w:cs="Times New Roman"/>
          <w:i/>
          <w:iCs/>
          <w:sz w:val="28"/>
          <w:szCs w:val="28"/>
        </w:rPr>
        <w:t>Làm gián đoạn các quá trình sinh trưởng của thực vật, chẳng hạn như các chất điều hòa sinh trưởng, ngoại trừ các chất dinh dưỡng hoặc chất kích thích sinh học thực vật</w:t>
      </w:r>
      <w:r w:rsidRPr="009F7625">
        <w:rPr>
          <w:rFonts w:ascii="Times New Roman" w:eastAsia="Times New Roman" w:hAnsi="Times New Roman" w:cs="Times New Roman"/>
          <w:i/>
          <w:iCs/>
          <w:sz w:val="28"/>
          <w:szCs w:val="28"/>
        </w:rPr>
        <w:t>;"</w:t>
      </w:r>
    </w:p>
    <w:p w:rsidR="00232D1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232D16"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2 được thay thế bằng </w:t>
      </w:r>
      <w:r w:rsidR="00232D1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 xml:space="preserve">sau: </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232D16" w:rsidRPr="009F7625">
        <w:rPr>
          <w:rFonts w:ascii="Times New Roman" w:eastAsia="Times New Roman" w:hAnsi="Times New Roman" w:cs="Times New Roman"/>
          <w:i/>
          <w:iCs/>
          <w:sz w:val="28"/>
          <w:szCs w:val="28"/>
        </w:rPr>
        <w:t>2. Quy định này áp dụng đối với các chất, bao gồm cả các chất kiểm soát sinh học, có tác động chung hoặc tác động đặc hiệu đối với sinh vật gây hại hoặc đối với cây trồng, bộ phận của cây trồng hoặc sản phẩm thực vật, sau đây gọi là ‘hoạt chất</w:t>
      </w:r>
      <w:r w:rsidRPr="009F7625">
        <w:rPr>
          <w:rFonts w:ascii="Times New Roman" w:eastAsia="Times New Roman" w:hAnsi="Times New Roman" w:cs="Times New Roman"/>
          <w:i/>
          <w:iCs/>
          <w:sz w:val="28"/>
          <w:szCs w:val="28"/>
        </w:rPr>
        <w:t>.</w:t>
      </w:r>
      <w:r w:rsidR="00232D16"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232D16" w:rsidRPr="009F7625">
        <w:rPr>
          <w:rFonts w:ascii="Times New Roman" w:eastAsia="Times New Roman" w:hAnsi="Times New Roman" w:cs="Times New Roman"/>
          <w:sz w:val="28"/>
          <w:szCs w:val="28"/>
        </w:rPr>
        <w:t>.Điều 3 được sửa đổi 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232D16" w:rsidRPr="009F7625">
        <w:rPr>
          <w:rFonts w:ascii="Times New Roman" w:eastAsia="Times New Roman" w:hAnsi="Times New Roman" w:cs="Times New Roman"/>
          <w:sz w:val="28"/>
          <w:szCs w:val="28"/>
        </w:rPr>
        <w:t>Điểm 17 được thay thế bằng nội dung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"17. </w:t>
      </w:r>
      <w:r w:rsidR="00232D16" w:rsidRPr="009F7625">
        <w:rPr>
          <w:rFonts w:ascii="Times New Roman" w:eastAsia="Times New Roman" w:hAnsi="Times New Roman" w:cs="Times New Roman"/>
          <w:i/>
          <w:iCs/>
          <w:sz w:val="28"/>
          <w:szCs w:val="28"/>
        </w:rPr>
        <w:t>Khu vực/vùng</w:t>
      </w:r>
      <w:r w:rsidRPr="009F7625">
        <w:rPr>
          <w:rFonts w:ascii="Times New Roman" w:eastAsia="Times New Roman" w:hAnsi="Times New Roman" w:cs="Times New Roman"/>
          <w:i/>
          <w:iCs/>
          <w:sz w:val="28"/>
          <w:szCs w:val="28"/>
        </w:rPr>
        <w:t xml:space="preserve">' (zone) là một nhóm các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viên theo định nghĩa tại Phụ lục I.</w:t>
      </w:r>
    </w:p>
    <w:p w:rsidR="003C1BEA"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Đối với các mục đích sử dụng trong nhà kính, xử lý sau thu hoạch, xử lý các kho bảo quản trống và xử lý hạt giống; đối với các mục đích sử dụng chỉ và rõ ràng nhằm ngăn chặn sự xâm nhập vào và sự lây lan trong Liên minh của các sinh vật gây hại được liệt kê theo </w:t>
      </w:r>
      <w:r w:rsidR="008D6166" w:rsidRPr="009F7625">
        <w:rPr>
          <w:rFonts w:ascii="Times New Roman" w:eastAsia="Times New Roman" w:hAnsi="Times New Roman" w:cs="Times New Roman"/>
          <w:i/>
          <w:iCs/>
          <w:sz w:val="28"/>
          <w:szCs w:val="28"/>
        </w:rPr>
        <w:t>Khoản 2</w:t>
      </w:r>
      <w:r w:rsidRPr="009F7625">
        <w:rPr>
          <w:rFonts w:ascii="Times New Roman" w:eastAsia="Times New Roman" w:hAnsi="Times New Roman" w:cs="Times New Roman"/>
          <w:i/>
          <w:iCs/>
          <w:sz w:val="28"/>
          <w:szCs w:val="28"/>
        </w:rPr>
        <w:t xml:space="preserve"> Điều 5, </w:t>
      </w:r>
      <w:r w:rsidR="008D6166" w:rsidRPr="009F7625">
        <w:rPr>
          <w:rFonts w:ascii="Times New Roman" w:eastAsia="Times New Roman" w:hAnsi="Times New Roman" w:cs="Times New Roman"/>
          <w:i/>
          <w:iCs/>
          <w:sz w:val="28"/>
          <w:szCs w:val="28"/>
        </w:rPr>
        <w:t xml:space="preserve">Khoản 1 Điều </w:t>
      </w:r>
      <w:r w:rsidRPr="009F7625">
        <w:rPr>
          <w:rFonts w:ascii="Times New Roman" w:eastAsia="Times New Roman" w:hAnsi="Times New Roman" w:cs="Times New Roman"/>
          <w:i/>
          <w:iCs/>
          <w:sz w:val="28"/>
          <w:szCs w:val="28"/>
        </w:rPr>
        <w:t>30,</w:t>
      </w:r>
      <w:r w:rsidR="008D6166" w:rsidRPr="009F7625">
        <w:rPr>
          <w:rFonts w:ascii="Times New Roman" w:eastAsia="Times New Roman" w:hAnsi="Times New Roman" w:cs="Times New Roman"/>
          <w:i/>
          <w:iCs/>
          <w:sz w:val="28"/>
          <w:szCs w:val="28"/>
        </w:rPr>
        <w:t xml:space="preserve"> Khoản 3 Điều</w:t>
      </w:r>
      <w:r w:rsidRPr="009F7625">
        <w:rPr>
          <w:rFonts w:ascii="Times New Roman" w:eastAsia="Times New Roman" w:hAnsi="Times New Roman" w:cs="Times New Roman"/>
          <w:i/>
          <w:iCs/>
          <w:sz w:val="28"/>
          <w:szCs w:val="28"/>
        </w:rPr>
        <w:t xml:space="preserve"> 32 và</w:t>
      </w:r>
      <w:r w:rsidR="008D6166" w:rsidRPr="009F7625">
        <w:rPr>
          <w:rFonts w:ascii="Times New Roman" w:eastAsia="Times New Roman" w:hAnsi="Times New Roman" w:cs="Times New Roman"/>
          <w:i/>
          <w:iCs/>
          <w:sz w:val="28"/>
          <w:szCs w:val="28"/>
        </w:rPr>
        <w:t xml:space="preserve"> Khoản 2 Điều</w:t>
      </w:r>
      <w:r w:rsidRPr="009F7625">
        <w:rPr>
          <w:rFonts w:ascii="Times New Roman" w:eastAsia="Times New Roman" w:hAnsi="Times New Roman" w:cs="Times New Roman"/>
          <w:i/>
          <w:iCs/>
          <w:sz w:val="28"/>
          <w:szCs w:val="28"/>
        </w:rPr>
        <w:t xml:space="preserve"> 37 của Quy định (EU) 2016/2031; và đối với các sản phẩm bảo vệ thực vật chỉ chứa các hoạt chất là chất kiểm soát sinh học hoặc hoạt chất có nguy cơ thấp, thì “vùng” được hiểu là toàn bộ các vùng được xác định tại Phụ lục I</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232D16" w:rsidRPr="009F7625">
        <w:rPr>
          <w:rFonts w:ascii="Times New Roman" w:eastAsia="Times New Roman" w:hAnsi="Times New Roman" w:cs="Times New Roman"/>
          <w:sz w:val="28"/>
          <w:szCs w:val="28"/>
        </w:rPr>
        <w:t xml:space="preserve">Điểm </w:t>
      </w:r>
      <w:r w:rsidRPr="009F7625">
        <w:rPr>
          <w:rFonts w:ascii="Times New Roman" w:eastAsia="Times New Roman" w:hAnsi="Times New Roman" w:cs="Times New Roman"/>
          <w:sz w:val="28"/>
          <w:szCs w:val="28"/>
        </w:rPr>
        <w:t xml:space="preserve">34 được thay thế bằng </w:t>
      </w:r>
      <w:r w:rsidR="00232D1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232D1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232D16" w:rsidRPr="009F7625">
        <w:rPr>
          <w:rFonts w:ascii="Times New Roman" w:eastAsia="Times New Roman" w:hAnsi="Times New Roman" w:cs="Times New Roman"/>
          <w:i/>
          <w:iCs/>
          <w:sz w:val="28"/>
          <w:szCs w:val="28"/>
        </w:rPr>
        <w:t>34. ‘Chất kích thích sinh học thực vật’ là sản phẩm có ít nhất một trong các tác dụng sau đây:</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w:t>
      </w:r>
      <w:r w:rsidR="008D6166" w:rsidRPr="009F7625">
        <w:rPr>
          <w:rFonts w:ascii="Times New Roman" w:eastAsia="Times New Roman" w:hAnsi="Times New Roman" w:cs="Times New Roman"/>
          <w:i/>
          <w:iCs/>
          <w:sz w:val="28"/>
          <w:szCs w:val="28"/>
        </w:rPr>
        <w:t>.</w:t>
      </w:r>
      <w:r w:rsidR="001A6BED" w:rsidRPr="009F7625">
        <w:rPr>
          <w:rFonts w:ascii="Times New Roman" w:eastAsia="Times New Roman" w:hAnsi="Times New Roman" w:cs="Times New Roman"/>
          <w:i/>
          <w:iCs/>
          <w:sz w:val="28"/>
          <w:szCs w:val="28"/>
        </w:rPr>
        <w:t xml:space="preserve"> </w:t>
      </w:r>
      <w:r w:rsidRPr="009F7625">
        <w:rPr>
          <w:rFonts w:ascii="Times New Roman" w:eastAsia="Times New Roman" w:hAnsi="Times New Roman" w:cs="Times New Roman"/>
          <w:i/>
          <w:iCs/>
          <w:sz w:val="28"/>
          <w:szCs w:val="28"/>
        </w:rPr>
        <w:t>Kích thích các quá trình dinh dưỡng của cây trồng, độc lập với hàm lượng dinh dưỡng của sản phẩm, với mục đích duy nhất là cải thiện một hoặc nhiều đặc tính sau của cây trồng hoặc vùng rễ của cây trồng:</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Hiệu quả sử dụng dinh dưỡng;</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Các đặc tính chất lượng;</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c) Khả năng sẵn có của các chất dinh dưỡng bị cố định trong đất hoặc vùng rễ;</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2</w:t>
      </w:r>
      <w:r w:rsidR="008D6166"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 xml:space="preserve"> Kích thích các quá trình sống của cây trồng nhằm nâng cao khả năng chịu đựng của cây đối với các tác nhân gây stress phi sinh học.</w:t>
      </w:r>
    </w:p>
    <w:p w:rsidR="00232D16" w:rsidRPr="009F7625" w:rsidRDefault="00232D1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Các chất làm gián đoạn các quá trình sống của cây trồng mà không đáp ứng định nghĩa về chất kích thích sinh học thực vật thì được coi là hoạt chất thuộc phạm vi điều chỉnh của Quy định này.”</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c) </w:t>
      </w:r>
      <w:r w:rsidR="00694D92" w:rsidRPr="009F7625">
        <w:rPr>
          <w:rFonts w:ascii="Times New Roman" w:eastAsia="Times New Roman" w:hAnsi="Times New Roman" w:cs="Times New Roman"/>
          <w:sz w:val="28"/>
          <w:szCs w:val="28"/>
        </w:rPr>
        <w:t>Bổ sung điểm 35 như sau</w:t>
      </w:r>
      <w:r w:rsidRPr="009F7625">
        <w:rPr>
          <w:rFonts w:ascii="Times New Roman" w:eastAsia="Times New Roman" w:hAnsi="Times New Roman" w:cs="Times New Roman"/>
          <w:sz w:val="28"/>
          <w:szCs w:val="28"/>
        </w:rPr>
        <w:t>:</w:t>
      </w:r>
    </w:p>
    <w:p w:rsidR="00694D92"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694D92" w:rsidRPr="009F7625">
        <w:rPr>
          <w:rFonts w:ascii="Times New Roman" w:eastAsia="Times New Roman" w:hAnsi="Times New Roman" w:cs="Times New Roman"/>
          <w:i/>
          <w:iCs/>
          <w:sz w:val="28"/>
          <w:szCs w:val="28"/>
        </w:rPr>
        <w:t>35. ‘Chất kiểm soát sinh học’ có nghĩa là:</w:t>
      </w:r>
    </w:p>
    <w:p w:rsidR="00694D92"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Các vi sinh vật;</w:t>
      </w:r>
    </w:p>
    <w:p w:rsidR="00694D92"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Các chất vô cơ tồn tại trong tự nhiên, ngoại trừ kim loại nặng và các muối của chúng; hoặc</w:t>
      </w:r>
    </w:p>
    <w:p w:rsidR="00694D92"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c) Các chất có nguồn gốc sinh học hoặc được sản xuất tổng hợp nhưng có chức năng tương đương và cấu trúc tương tự với các chất đó.”</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d) </w:t>
      </w:r>
      <w:r w:rsidR="00694D92" w:rsidRPr="009F7625">
        <w:rPr>
          <w:rFonts w:ascii="Times New Roman" w:eastAsia="Times New Roman" w:hAnsi="Times New Roman" w:cs="Times New Roman"/>
          <w:sz w:val="28"/>
          <w:szCs w:val="28"/>
        </w:rPr>
        <w:t>Bổ sung điểm 36 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694D92" w:rsidRPr="009F7625">
        <w:rPr>
          <w:rFonts w:ascii="Times New Roman" w:eastAsia="Times New Roman" w:hAnsi="Times New Roman" w:cs="Times New Roman"/>
          <w:i/>
          <w:iCs/>
          <w:sz w:val="28"/>
          <w:szCs w:val="28"/>
        </w:rPr>
        <w:t>36. ‘Chất cơ bản’ là các hoạt chất không được sử dụng chủ yếu cho mục đích bảo vệ thực vật, bao gồm cả thực phẩm và các chất đã được đánh giá theo các quy định pháp luật khác của Liên minh, nhưng vẫn có ích trong việc bảo vệ thực vật.”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694D92" w:rsidRPr="009F7625">
        <w:rPr>
          <w:rFonts w:ascii="Times New Roman" w:eastAsia="Times New Roman" w:hAnsi="Times New Roman" w:cs="Times New Roman"/>
          <w:sz w:val="28"/>
          <w:szCs w:val="28"/>
        </w:rPr>
        <w:t>. Khoản 7, Điều 4</w:t>
      </w:r>
      <w:r w:rsidRPr="009F7625">
        <w:rPr>
          <w:rFonts w:ascii="Times New Roman" w:eastAsia="Times New Roman" w:hAnsi="Times New Roman" w:cs="Times New Roman"/>
          <w:sz w:val="28"/>
          <w:szCs w:val="28"/>
        </w:rPr>
        <w:t xml:space="preserve"> được thay thế bằng </w:t>
      </w:r>
      <w:r w:rsidR="00694D92" w:rsidRPr="009F7625">
        <w:rPr>
          <w:rFonts w:ascii="Times New Roman" w:eastAsia="Times New Roman" w:hAnsi="Times New Roman" w:cs="Times New Roman"/>
          <w:sz w:val="28"/>
          <w:szCs w:val="28"/>
        </w:rPr>
        <w:t>nội dung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694D92" w:rsidRPr="009F7625">
        <w:rPr>
          <w:rFonts w:ascii="Times New Roman" w:eastAsia="Times New Roman" w:hAnsi="Times New Roman" w:cs="Times New Roman"/>
          <w:i/>
          <w:iCs/>
          <w:sz w:val="28"/>
          <w:szCs w:val="28"/>
        </w:rPr>
        <w:t xml:space="preserve">7. Theo cơ chế ngoại lệ so với </w:t>
      </w:r>
      <w:r w:rsidR="00A65BF9" w:rsidRPr="009F7625">
        <w:rPr>
          <w:rFonts w:ascii="Times New Roman" w:eastAsia="Times New Roman" w:hAnsi="Times New Roman" w:cs="Times New Roman"/>
          <w:i/>
          <w:iCs/>
          <w:sz w:val="28"/>
          <w:szCs w:val="28"/>
        </w:rPr>
        <w:t xml:space="preserve">Khoản </w:t>
      </w:r>
      <w:r w:rsidR="00694D92" w:rsidRPr="009F7625">
        <w:rPr>
          <w:rFonts w:ascii="Times New Roman" w:eastAsia="Times New Roman" w:hAnsi="Times New Roman" w:cs="Times New Roman"/>
          <w:i/>
          <w:iCs/>
          <w:sz w:val="28"/>
          <w:szCs w:val="28"/>
        </w:rPr>
        <w:t>1, trong trường hợp trên cơ sở các bằng chứng được lập thành tài liệu trong hồ sơ đề nghị hoặc các thông tin được cung cấp trong quá trình thủ tục phê duyệt cho thấy một hoạt chất là cần thiết để kiểm soát một mối nguy nghiêm trọng đối với sức khỏe thực vật hoặc sản xuất cây trồng mà không thể được kiểm soát bằng các biện pháp hợp lý khác, bao gồm cả các phương pháp phi hóa học, thì hoạt chất đó có thể được phê duyệt trong một thời hạn giới hạn cần thiết để kiểm soát mối nguy nghiêm trọng đó, nhưng không quá năm năm, với điều kiện việc sử dụng hoạt chất đó phải chịu các biện pháp giảm thiểu rủi ro nhằm bảo đảm rằng mức độ phơi nhiễm của con người và môi trường được giảm thiểu đến mức thấp nhất. Đối với các hoạt chất này, mức dư lượng tối đa phải được thiết lập theo quy định tại Quy định (EC) số 396/2005</w:t>
      </w:r>
      <w:r w:rsidRPr="009F7625">
        <w:rPr>
          <w:rFonts w:ascii="Times New Roman" w:eastAsia="Times New Roman" w:hAnsi="Times New Roman" w:cs="Times New Roman"/>
          <w:i/>
          <w:iCs/>
          <w:sz w:val="28"/>
          <w:szCs w:val="28"/>
        </w:rPr>
        <w:t>.</w:t>
      </w:r>
    </w:p>
    <w:p w:rsidR="003C1BEA"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Cơ chế ngoại lệ quy định tại đoạn thứ nhất không áp dụng đối với các hoạt chất đã được hoặc phải được phân loại theo Quy định (EC) số 1272/2008 là: chất gây đột biến loại 1A hoặc 1B; chất gây ung thư loại 1A hoặc loại 1B không có ngưỡng; chất độc đối với sinh sản loại 1A; hoặc các chất khó phân hủy, tích lũy sinh học và độc hại (PBT); các chất rất khó phân hủy và rất dễ tích lũy sinh học </w:t>
      </w:r>
      <w:r w:rsidRPr="009F7625">
        <w:rPr>
          <w:rFonts w:ascii="Times New Roman" w:eastAsia="Times New Roman" w:hAnsi="Times New Roman" w:cs="Times New Roman"/>
          <w:i/>
          <w:iCs/>
          <w:sz w:val="28"/>
          <w:szCs w:val="28"/>
        </w:rPr>
        <w:lastRenderedPageBreak/>
        <w:t>(vPvB); hoặc các chất là chất ô nhiễm hữu cơ khó phân hủy (POP) theo các tiêu chí quy định tại điểm 3.7.1 của Phụ lục II</w:t>
      </w:r>
      <w:r w:rsidR="003C1BEA" w:rsidRPr="009F7625">
        <w:rPr>
          <w:rFonts w:ascii="Times New Roman" w:eastAsia="Times New Roman" w:hAnsi="Times New Roman" w:cs="Times New Roman"/>
          <w:i/>
          <w:iCs/>
          <w:sz w:val="28"/>
          <w:szCs w:val="28"/>
        </w:rPr>
        <w:t>.</w:t>
      </w:r>
    </w:p>
    <w:p w:rsidR="003C1BEA"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Các quốc gia thành viên chỉ được phép cấp phép cho các sản phẩm bảo vệ thực vật có chứa các hoạt chất được phê duyệt theo khoản này khi việc đó là cần thiết để kiểm soát mối nguy nghiêm trọng đối với sức khỏe thực vật hoặc sản xuất cây trồng trên lãnh thổ của mình theo xác định tại đoạn thứ nhất</w:t>
      </w:r>
      <w:r w:rsidR="003C1BEA"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4</w:t>
      </w:r>
      <w:r w:rsidR="00694D92"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Điều 5 được thay thế bằng </w:t>
      </w:r>
      <w:r w:rsidR="00694D92" w:rsidRPr="009F7625">
        <w:rPr>
          <w:rFonts w:ascii="Times New Roman" w:eastAsia="Times New Roman" w:hAnsi="Times New Roman" w:cs="Times New Roman"/>
          <w:sz w:val="28"/>
          <w:szCs w:val="28"/>
        </w:rPr>
        <w:t>nội dung sau</w:t>
      </w:r>
      <w:r w:rsidRPr="009F7625">
        <w:rPr>
          <w:rFonts w:ascii="Times New Roman" w:eastAsia="Times New Roman" w:hAnsi="Times New Roman" w:cs="Times New Roman"/>
          <w:sz w:val="28"/>
          <w:szCs w:val="28"/>
        </w:rPr>
        <w:t>:</w:t>
      </w:r>
    </w:p>
    <w:p w:rsidR="003C1BEA" w:rsidRPr="009F7625" w:rsidRDefault="00694D92"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Điều 5</w:t>
      </w:r>
    </w:p>
    <w:p w:rsidR="003C1BEA" w:rsidRPr="009F7625" w:rsidRDefault="00694D92"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Phê duyệt lần đầu</w:t>
      </w:r>
    </w:p>
    <w:p w:rsidR="003C1BEA"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Việc phê duyệt lần đầu được thực hiện với thời hạn không xác định, trừ các trường hợp sau:</w:t>
      </w:r>
    </w:p>
    <w:p w:rsidR="00694D92"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694D92" w:rsidRPr="009F7625">
        <w:rPr>
          <w:rFonts w:ascii="Times New Roman" w:eastAsia="Times New Roman" w:hAnsi="Times New Roman" w:cs="Times New Roman"/>
          <w:i/>
          <w:iCs/>
          <w:sz w:val="28"/>
          <w:szCs w:val="28"/>
        </w:rPr>
        <w:t>Các hoạt chất được xác định là đối tượng thay thế theo quy định tại Điều 24;</w:t>
      </w:r>
    </w:p>
    <w:p w:rsidR="00694D92"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694D92" w:rsidRPr="009F7625">
        <w:rPr>
          <w:rFonts w:ascii="Times New Roman" w:eastAsia="Times New Roman" w:hAnsi="Times New Roman" w:cs="Times New Roman"/>
          <w:i/>
          <w:iCs/>
          <w:sz w:val="28"/>
          <w:szCs w:val="28"/>
        </w:rPr>
        <w:t xml:space="preserve">Các hoạt chất được phê duyệt theo Khoản 7 Điều 4; </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 xml:space="preserve">c) </w:t>
      </w:r>
      <w:r w:rsidR="00694D92" w:rsidRPr="009F7625">
        <w:rPr>
          <w:rFonts w:ascii="Times New Roman" w:eastAsia="Times New Roman" w:hAnsi="Times New Roman" w:cs="Times New Roman"/>
          <w:i/>
          <w:iCs/>
          <w:sz w:val="28"/>
          <w:szCs w:val="28"/>
        </w:rPr>
        <w:t>Các hoạt chất mà thời hạn phê duyệt có giới hạn được ấn định theo điểm j Điều 6, đặc biệt trên cơ sở các yếu tố không chắc chắn có liên quan phát sinh từ quá trình đánh giá rủi ro, bao gồm cả các trường hợp do thiếu dữ liệu.”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5</w:t>
      </w:r>
      <w:r w:rsidR="00694D92" w:rsidRPr="009F7625">
        <w:rPr>
          <w:rFonts w:ascii="Times New Roman" w:eastAsia="Times New Roman" w:hAnsi="Times New Roman" w:cs="Times New Roman"/>
          <w:sz w:val="28"/>
          <w:szCs w:val="28"/>
        </w:rPr>
        <w:t>. Khoản 1,</w:t>
      </w:r>
      <w:r w:rsidRPr="009F7625">
        <w:rPr>
          <w:rFonts w:ascii="Times New Roman" w:eastAsia="Times New Roman" w:hAnsi="Times New Roman" w:cs="Times New Roman"/>
          <w:sz w:val="28"/>
          <w:szCs w:val="28"/>
        </w:rPr>
        <w:t xml:space="preserve"> Điều 7</w:t>
      </w:r>
      <w:r w:rsidR="001A6BED"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được thay thế bằng </w:t>
      </w:r>
      <w:r w:rsidR="00694D92"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w:t>
      </w:r>
      <w:r w:rsidR="008D6166" w:rsidRPr="009F7625">
        <w:rPr>
          <w:rFonts w:ascii="Times New Roman" w:eastAsia="Times New Roman" w:hAnsi="Times New Roman" w:cs="Times New Roman"/>
          <w:i/>
          <w:iCs/>
          <w:sz w:val="28"/>
          <w:szCs w:val="28"/>
        </w:rPr>
        <w:t>.</w:t>
      </w:r>
      <w:r w:rsidR="001A6BED" w:rsidRPr="009F7625">
        <w:rPr>
          <w:rFonts w:ascii="Times New Roman" w:eastAsia="Times New Roman" w:hAnsi="Times New Roman" w:cs="Times New Roman"/>
          <w:i/>
          <w:iCs/>
          <w:sz w:val="28"/>
          <w:szCs w:val="28"/>
        </w:rPr>
        <w:t xml:space="preserve"> </w:t>
      </w:r>
      <w:r w:rsidR="00694D92" w:rsidRPr="009F7625">
        <w:rPr>
          <w:rFonts w:ascii="Times New Roman" w:eastAsia="Times New Roman" w:hAnsi="Times New Roman" w:cs="Times New Roman"/>
          <w:i/>
          <w:iCs/>
          <w:sz w:val="28"/>
          <w:szCs w:val="28"/>
        </w:rPr>
        <w:t xml:space="preserve">Hồ sơ đề nghị phê duyệt một hoạt chất, sửa đổi các điều kiện phê duyệt hoặc thay đổi tình trạng của một hoạt chất theo quy định tại văn bản được dẫn chiếu tại </w:t>
      </w:r>
      <w:r w:rsidR="008B34C3" w:rsidRPr="009F7625">
        <w:rPr>
          <w:rFonts w:ascii="Times New Roman" w:eastAsia="Times New Roman" w:hAnsi="Times New Roman" w:cs="Times New Roman"/>
          <w:i/>
          <w:iCs/>
          <w:sz w:val="28"/>
          <w:szCs w:val="28"/>
        </w:rPr>
        <w:t xml:space="preserve">Khoản 4 Điều </w:t>
      </w:r>
      <w:r w:rsidR="00694D92" w:rsidRPr="009F7625">
        <w:rPr>
          <w:rFonts w:ascii="Times New Roman" w:eastAsia="Times New Roman" w:hAnsi="Times New Roman" w:cs="Times New Roman"/>
          <w:i/>
          <w:iCs/>
          <w:sz w:val="28"/>
          <w:szCs w:val="28"/>
        </w:rPr>
        <w:t xml:space="preserve">1, phải được nhà sản xuất hoạt chất nộp cho một quốc gia thành viên (sau đây gọi là “quốc gia thành viên báo cáo”) kèm theo bản tóm tắt và bộ hồ sơ đầy đủ theo quy định tại các </w:t>
      </w:r>
      <w:r w:rsidR="00A65BF9" w:rsidRPr="009F7625">
        <w:rPr>
          <w:rFonts w:ascii="Times New Roman" w:eastAsia="Times New Roman" w:hAnsi="Times New Roman" w:cs="Times New Roman"/>
          <w:i/>
          <w:iCs/>
          <w:sz w:val="28"/>
          <w:szCs w:val="28"/>
        </w:rPr>
        <w:t xml:space="preserve">Khoản </w:t>
      </w:r>
      <w:r w:rsidR="00694D92" w:rsidRPr="009F7625">
        <w:rPr>
          <w:rFonts w:ascii="Times New Roman" w:eastAsia="Times New Roman" w:hAnsi="Times New Roman" w:cs="Times New Roman"/>
          <w:i/>
          <w:iCs/>
          <w:sz w:val="28"/>
          <w:szCs w:val="28"/>
        </w:rPr>
        <w:t>1 và 2 Điều 8 của Quy định này, hoặc kèm theo bản giải trình có cơ sở khoa học đối với việc không cung cấp một số phần của các bộ hồ sơ đó. Hồ sơ đề nghị phải chứng minh rằng hoạt chất đáp ứng các tiêu chí phê duyệt quy định tại Điều 4 của Quy định này hoặc, trong trường hợp áp dụng, rằng việc thay đổi tình trạng của hoạt chất là có cơ sở hợp lý. Hồ sơ đề nghị phải được nộp theo các định dạng dữ liệu tiêu chuẩn, trong trường hợp các định dạng này đã được thiết lập theo Điều 39f của Quy định (EC) số 178/2002 của Nghị viện Châu Âu và Hội đồng, và các định dạng đó được áp dụng tương ứng.</w:t>
      </w:r>
    </w:p>
    <w:p w:rsidR="001B580E"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lang w:val="vi-VN"/>
        </w:rPr>
      </w:pPr>
      <w:r w:rsidRPr="009F7625">
        <w:rPr>
          <w:rFonts w:ascii="Times New Roman" w:eastAsia="Times New Roman" w:hAnsi="Times New Roman" w:cs="Times New Roman"/>
          <w:i/>
          <w:iCs/>
          <w:sz w:val="28"/>
          <w:szCs w:val="28"/>
        </w:rPr>
        <w:t>Một hồ sơ đề nghị chung có thể được nộp bởi một hiệp hội các nhà sản xuất được các nhà sản xuất chỉ định nhằm mục đích tuân thủ Quy định này</w:t>
      </w:r>
      <w:r w:rsidR="001B580E" w:rsidRPr="009F7625">
        <w:rPr>
          <w:rFonts w:ascii="Times New Roman" w:eastAsia="Times New Roman" w:hAnsi="Times New Roman" w:cs="Times New Roman"/>
          <w:i/>
          <w:iCs/>
          <w:sz w:val="28"/>
          <w:szCs w:val="28"/>
        </w:rPr>
        <w:t>.</w:t>
      </w:r>
    </w:p>
    <w:p w:rsidR="003C1BEA"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Hồ sơ đề nghị sẽ được quốc gia thành viên do người nộp hồ sơ đề xuất tiến hành xem xét, trừ khi một quốc gia thành viên khác đồng ý thực hiện việc xem xét đó</w:t>
      </w:r>
      <w:r w:rsidR="003C1BEA" w:rsidRPr="009F7625">
        <w:rPr>
          <w:rFonts w:ascii="Times New Roman" w:eastAsia="Times New Roman" w:hAnsi="Times New Roman" w:cs="Times New Roman"/>
          <w:i/>
          <w:iCs/>
          <w:sz w:val="28"/>
          <w:szCs w:val="28"/>
        </w:rPr>
        <w:t>.</w:t>
      </w:r>
    </w:p>
    <w:p w:rsidR="003C1BEA" w:rsidRPr="009F7625" w:rsidRDefault="00694D92"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lastRenderedPageBreak/>
        <w:t>Theo cơ chế ngoại lệ so với đoạn thứ nhất, hồ sơ đề nghị phê duyệt các chất kiểm soát sinh học có thể được nộp cho Cơ quan, và trong trường hợp đó Cơ quan sẽ đảm nhận các nhiệm vụ của quốc gia thành viên báo cáo.</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6</w:t>
      </w:r>
      <w:r w:rsidR="00694D92"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11 được sửa đổi như sau:</w:t>
      </w:r>
    </w:p>
    <w:p w:rsidR="00C11614"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C11614" w:rsidRPr="009F7625">
        <w:rPr>
          <w:rFonts w:ascii="Times New Roman" w:eastAsia="Times New Roman" w:hAnsi="Times New Roman" w:cs="Times New Roman"/>
          <w:sz w:val="28"/>
          <w:szCs w:val="28"/>
        </w:rPr>
        <w:t xml:space="preserve">Bổ sung </w:t>
      </w:r>
      <w:r w:rsidR="00A65BF9" w:rsidRPr="009F7625">
        <w:rPr>
          <w:rFonts w:ascii="Times New Roman" w:eastAsia="Times New Roman" w:hAnsi="Times New Roman" w:cs="Times New Roman"/>
          <w:sz w:val="28"/>
          <w:szCs w:val="28"/>
        </w:rPr>
        <w:t xml:space="preserve">Khoản </w:t>
      </w:r>
      <w:r w:rsidR="00C11614" w:rsidRPr="009F7625">
        <w:rPr>
          <w:rFonts w:ascii="Times New Roman" w:eastAsia="Times New Roman" w:hAnsi="Times New Roman" w:cs="Times New Roman"/>
          <w:sz w:val="28"/>
          <w:szCs w:val="28"/>
        </w:rPr>
        <w:t>1a như sau</w:t>
      </w:r>
      <w:r w:rsidRPr="009F7625">
        <w:rPr>
          <w:rFonts w:ascii="Times New Roman" w:eastAsia="Times New Roman" w:hAnsi="Times New Roman" w:cs="Times New Roman"/>
          <w:sz w:val="28"/>
          <w:szCs w:val="28"/>
        </w:rPr>
        <w:t xml:space="preserve">: </w:t>
      </w:r>
    </w:p>
    <w:p w:rsidR="00C11614"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C11614" w:rsidRPr="009F7625">
        <w:rPr>
          <w:rFonts w:ascii="Times New Roman" w:eastAsia="Times New Roman" w:hAnsi="Times New Roman" w:cs="Times New Roman"/>
          <w:i/>
          <w:iCs/>
          <w:sz w:val="28"/>
          <w:szCs w:val="28"/>
        </w:rPr>
        <w:t>1a. Quốc gia thành viên báo cáo phải ưu tiên đánh giá các hồ sơ đề nghị phê duyệt đối với các chất kiểm soát sinh học.</w:t>
      </w:r>
      <w:r w:rsidRPr="009F7625">
        <w:rPr>
          <w:rFonts w:ascii="Times New Roman" w:eastAsia="Times New Roman" w:hAnsi="Times New Roman" w:cs="Times New Roman"/>
          <w:i/>
          <w:iCs/>
          <w:sz w:val="28"/>
          <w:szCs w:val="28"/>
        </w:rPr>
        <w:t>";</w:t>
      </w:r>
    </w:p>
    <w:p w:rsidR="00C11614"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C11614" w:rsidRPr="009F7625">
        <w:rPr>
          <w:rFonts w:ascii="Times New Roman" w:eastAsia="Times New Roman" w:hAnsi="Times New Roman" w:cs="Times New Roman"/>
          <w:sz w:val="28"/>
          <w:szCs w:val="28"/>
        </w:rPr>
        <w:t>Bổ sung đoạn sau vào cuối khoản 2</w:t>
      </w:r>
      <w:r w:rsidRPr="009F7625">
        <w:rPr>
          <w:rFonts w:ascii="Times New Roman" w:eastAsia="Times New Roman" w:hAnsi="Times New Roman" w:cs="Times New Roman"/>
          <w:sz w:val="28"/>
          <w:szCs w:val="28"/>
        </w:rPr>
        <w:t xml:space="preserve">: </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C11614" w:rsidRPr="009F7625">
        <w:rPr>
          <w:rFonts w:ascii="Times New Roman" w:eastAsia="Times New Roman" w:hAnsi="Times New Roman" w:cs="Times New Roman"/>
          <w:i/>
          <w:iCs/>
          <w:sz w:val="28"/>
          <w:szCs w:val="28"/>
        </w:rPr>
        <w:t>Quốc gia thành viên báo cáo có thể đề nghị Cơ quan cung cấp hỗ trợ kỹ thuật và khoa học trong quá trình đánh giá phục vụ việc chuẩn bị và trình báo cáo đánh giá dự thảo, trong quá trình đánh giá các thông tin bổ sung quy định tại</w:t>
      </w:r>
      <w:r w:rsidR="008D6166" w:rsidRPr="009F7625">
        <w:rPr>
          <w:rFonts w:ascii="Times New Roman" w:eastAsia="Times New Roman" w:hAnsi="Times New Roman" w:cs="Times New Roman"/>
          <w:i/>
          <w:iCs/>
          <w:sz w:val="28"/>
          <w:szCs w:val="28"/>
        </w:rPr>
        <w:t xml:space="preserve"> Khoản 3</w:t>
      </w:r>
      <w:r w:rsidR="00C11614" w:rsidRPr="009F7625">
        <w:rPr>
          <w:rFonts w:ascii="Times New Roman" w:eastAsia="Times New Roman" w:hAnsi="Times New Roman" w:cs="Times New Roman"/>
          <w:i/>
          <w:iCs/>
          <w:sz w:val="28"/>
          <w:szCs w:val="28"/>
        </w:rPr>
        <w:t xml:space="preserve"> Điều</w:t>
      </w:r>
      <w:r w:rsidR="008D6166" w:rsidRPr="009F7625">
        <w:rPr>
          <w:rFonts w:ascii="Times New Roman" w:eastAsia="Times New Roman" w:hAnsi="Times New Roman" w:cs="Times New Roman"/>
          <w:i/>
          <w:iCs/>
          <w:sz w:val="28"/>
          <w:szCs w:val="28"/>
        </w:rPr>
        <w:t xml:space="preserve"> 12</w:t>
      </w:r>
      <w:r w:rsidR="00C11614" w:rsidRPr="009F7625">
        <w:rPr>
          <w:rFonts w:ascii="Times New Roman" w:eastAsia="Times New Roman" w:hAnsi="Times New Roman" w:cs="Times New Roman"/>
          <w:i/>
          <w:iCs/>
          <w:sz w:val="28"/>
          <w:szCs w:val="28"/>
        </w:rPr>
        <w:t>, cũng như trong việc chuẩn bị các cập nhật cần thiết đối với báo cáo đánh giá dự thảo sau khi báo cáo này đã được nộp lần đầu</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7</w:t>
      </w:r>
      <w:r w:rsidR="00A607EA" w:rsidRPr="009F7625">
        <w:rPr>
          <w:rFonts w:ascii="Times New Roman" w:eastAsia="Times New Roman" w:hAnsi="Times New Roman" w:cs="Times New Roman"/>
          <w:sz w:val="28"/>
          <w:szCs w:val="28"/>
        </w:rPr>
        <w:t>. Khoản 4, Điểu 13 được thay thế bằng nội dung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"4. </w:t>
      </w:r>
      <w:r w:rsidR="00A607EA" w:rsidRPr="009F7625">
        <w:rPr>
          <w:rFonts w:ascii="Times New Roman" w:eastAsia="Times New Roman" w:hAnsi="Times New Roman" w:cs="Times New Roman"/>
          <w:i/>
          <w:iCs/>
          <w:sz w:val="28"/>
          <w:szCs w:val="28"/>
        </w:rPr>
        <w:t>Các hoạt chất được phê duyệt phải được đưa vào Quy định được dẫn chiếu tại Khoản 3 Điều 78, trong đó bao gồm danh mục các hoạt chất đã được phê duyệt. Ủy ban phải duy trì danh mục các hoạt chất đã được phê duyệt dưới hình thức điện tử và công khai cho công chúng. Danh mục này phải chỉ rõ liệu một hoạt chất có phải là chất kiểm soát sinh học hay không”</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8</w:t>
      </w:r>
      <w:r w:rsidR="00A607EA"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Tiêu đề của Tiểu mục 3 được thay thế </w:t>
      </w:r>
      <w:r w:rsidR="00A607EA" w:rsidRPr="009F7625">
        <w:rPr>
          <w:rFonts w:ascii="Times New Roman" w:eastAsia="Times New Roman" w:hAnsi="Times New Roman" w:cs="Times New Roman"/>
          <w:sz w:val="28"/>
          <w:szCs w:val="28"/>
        </w:rPr>
        <w:t>như</w:t>
      </w:r>
      <w:r w:rsidRPr="009F7625">
        <w:rPr>
          <w:rFonts w:ascii="Times New Roman" w:eastAsia="Times New Roman" w:hAnsi="Times New Roman" w:cs="Times New Roman"/>
          <w:sz w:val="28"/>
          <w:szCs w:val="28"/>
        </w:rPr>
        <w:t xml:space="preserve"> sau:</w:t>
      </w:r>
    </w:p>
    <w:p w:rsidR="003C1BEA" w:rsidRPr="009F7625" w:rsidRDefault="00A607EA"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Tiểu mục 3</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i/>
          <w:iCs/>
          <w:sz w:val="28"/>
          <w:szCs w:val="28"/>
        </w:rPr>
        <w:t xml:space="preserve">Gia hạn, đánh giá lại và </w:t>
      </w:r>
      <w:r w:rsidR="00A607EA" w:rsidRPr="009F7625">
        <w:rPr>
          <w:rFonts w:ascii="Times New Roman" w:eastAsia="Times New Roman" w:hAnsi="Times New Roman" w:cs="Times New Roman"/>
          <w:b/>
          <w:bCs/>
          <w:i/>
          <w:iCs/>
          <w:sz w:val="28"/>
          <w:szCs w:val="28"/>
        </w:rPr>
        <w:t>rà soát”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9</w:t>
      </w:r>
      <w:r w:rsidR="00A607EA"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Điều 14 được thay thế bằng </w:t>
      </w:r>
      <w:r w:rsidR="00A607EA" w:rsidRPr="009F7625">
        <w:rPr>
          <w:rFonts w:ascii="Times New Roman" w:eastAsia="Times New Roman" w:hAnsi="Times New Roman" w:cs="Times New Roman"/>
          <w:sz w:val="28"/>
          <w:szCs w:val="28"/>
        </w:rPr>
        <w:t>nội dung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'Điều 14</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Gia hạn phê duyệt</w:t>
      </w:r>
    </w:p>
    <w:p w:rsidR="003C1BEA" w:rsidRPr="009F7625" w:rsidRDefault="001B580E"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w:t>
      </w:r>
      <w:r w:rsidRPr="009F7625">
        <w:rPr>
          <w:rFonts w:ascii="Times New Roman" w:eastAsia="Times New Roman" w:hAnsi="Times New Roman" w:cs="Times New Roman"/>
          <w:i/>
          <w:iCs/>
          <w:sz w:val="28"/>
          <w:szCs w:val="28"/>
          <w:lang w:val="vi-VN"/>
        </w:rPr>
        <w:t>.</w:t>
      </w:r>
      <w:r w:rsidR="00A607EA" w:rsidRPr="009F7625">
        <w:rPr>
          <w:rFonts w:ascii="Times New Roman" w:eastAsia="Times New Roman" w:hAnsi="Times New Roman" w:cs="Times New Roman"/>
          <w:i/>
          <w:iCs/>
          <w:sz w:val="28"/>
          <w:szCs w:val="28"/>
        </w:rPr>
        <w:t xml:space="preserve"> Theo hồ sơ đề nghị, việc phê duyệt một hoạt chất có thời hạn phê duyệt giới hạn sẽ được gia hạn khi xác định rằng các tiêu chí phê duyệt quy định tại Điều 4 được đáp ứng</w:t>
      </w:r>
      <w:r w:rsidR="003C1BEA" w:rsidRPr="009F7625">
        <w:rPr>
          <w:rFonts w:ascii="Times New Roman" w:eastAsia="Times New Roman" w:hAnsi="Times New Roman" w:cs="Times New Roman"/>
          <w:i/>
          <w:iCs/>
          <w:sz w:val="28"/>
          <w:szCs w:val="28"/>
        </w:rPr>
        <w:t>.</w:t>
      </w:r>
    </w:p>
    <w:p w:rsidR="003C1BEA" w:rsidRPr="009F7625" w:rsidRDefault="00A607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Điều 4 được coi là đã được đáp ứng khi điều đó đã được xác lập đối với một hoặc nhiều mục đích sử dụng đại diện của ít nhất một sản phẩm bảo vệ thực vật có chứa hoạt chất đó</w:t>
      </w:r>
      <w:r w:rsidR="003C1BEA" w:rsidRPr="009F7625">
        <w:rPr>
          <w:rFonts w:ascii="Times New Roman" w:eastAsia="Times New Roman" w:hAnsi="Times New Roman" w:cs="Times New Roman"/>
          <w:i/>
          <w:iCs/>
          <w:sz w:val="28"/>
          <w:szCs w:val="28"/>
        </w:rPr>
        <w:t>.</w:t>
      </w:r>
    </w:p>
    <w:p w:rsidR="00A607EA" w:rsidRPr="009F7625" w:rsidRDefault="00A607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Việc gia hạn phê duyệt như vậy có thể kèm theo các điều kiện và hạn chế theo quy định tại Điều 6</w:t>
      </w:r>
      <w:r w:rsidR="003C1BEA" w:rsidRPr="009F7625">
        <w:rPr>
          <w:rFonts w:ascii="Times New Roman" w:eastAsia="Times New Roman" w:hAnsi="Times New Roman" w:cs="Times New Roman"/>
          <w:i/>
          <w:iCs/>
          <w:sz w:val="28"/>
          <w:szCs w:val="28"/>
        </w:rPr>
        <w:t>.</w:t>
      </w:r>
    </w:p>
    <w:p w:rsidR="003C1BEA" w:rsidRPr="009F7625" w:rsidRDefault="00A607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2. Việc gia hạn phê duyệt đối với các hoạt chất được thực hiện với thời hạn không xác định,</w:t>
      </w:r>
      <w:r w:rsidR="00F17B6E" w:rsidRPr="009F7625">
        <w:rPr>
          <w:rFonts w:ascii="Times New Roman" w:eastAsia="Times New Roman" w:hAnsi="Times New Roman" w:cs="Times New Roman"/>
          <w:i/>
          <w:iCs/>
          <w:sz w:val="28"/>
          <w:szCs w:val="28"/>
        </w:rPr>
        <w:t xml:space="preserve"> ngoại</w:t>
      </w:r>
      <w:r w:rsidRPr="009F7625">
        <w:rPr>
          <w:rFonts w:ascii="Times New Roman" w:eastAsia="Times New Roman" w:hAnsi="Times New Roman" w:cs="Times New Roman"/>
          <w:i/>
          <w:iCs/>
          <w:sz w:val="28"/>
          <w:szCs w:val="28"/>
        </w:rPr>
        <w:t xml:space="preserve"> trừ các trường hợp sau</w:t>
      </w:r>
      <w:r w:rsidR="003C1BEA" w:rsidRPr="009F7625">
        <w:rPr>
          <w:rFonts w:ascii="Times New Roman" w:eastAsia="Times New Roman" w:hAnsi="Times New Roman" w:cs="Times New Roman"/>
          <w:i/>
          <w:iCs/>
          <w:sz w:val="28"/>
          <w:szCs w:val="28"/>
        </w:rPr>
        <w:t>:</w:t>
      </w:r>
    </w:p>
    <w:p w:rsidR="001A6BED"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 xml:space="preserve">a) </w:t>
      </w:r>
      <w:r w:rsidR="00A607EA" w:rsidRPr="009F7625">
        <w:rPr>
          <w:rFonts w:ascii="Times New Roman" w:eastAsia="Times New Roman" w:hAnsi="Times New Roman" w:cs="Times New Roman"/>
          <w:i/>
          <w:iCs/>
          <w:sz w:val="28"/>
          <w:szCs w:val="28"/>
        </w:rPr>
        <w:t xml:space="preserve">Các hoạt chất được phê duyệt là đối tượng </w:t>
      </w:r>
      <w:r w:rsidR="001A6BED" w:rsidRPr="009F7625">
        <w:rPr>
          <w:rFonts w:ascii="Times New Roman" w:eastAsia="Times New Roman" w:hAnsi="Times New Roman" w:cs="Times New Roman"/>
          <w:i/>
          <w:iCs/>
          <w:sz w:val="28"/>
          <w:szCs w:val="28"/>
        </w:rPr>
        <w:t xml:space="preserve">thay thế theo quy định tại Điều </w:t>
      </w:r>
      <w:r w:rsidR="00A607EA" w:rsidRPr="009F7625">
        <w:rPr>
          <w:rFonts w:ascii="Times New Roman" w:eastAsia="Times New Roman" w:hAnsi="Times New Roman" w:cs="Times New Roman"/>
          <w:i/>
          <w:iCs/>
          <w:sz w:val="28"/>
          <w:szCs w:val="28"/>
        </w:rPr>
        <w:t>24</w:t>
      </w:r>
      <w:r w:rsidR="001A6BED"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D75BB4" w:rsidRPr="009F7625">
        <w:rPr>
          <w:rFonts w:ascii="Times New Roman" w:eastAsia="Times New Roman" w:hAnsi="Times New Roman" w:cs="Times New Roman"/>
          <w:i/>
          <w:iCs/>
          <w:sz w:val="28"/>
          <w:szCs w:val="28"/>
        </w:rPr>
        <w:t>C</w:t>
      </w:r>
      <w:r w:rsidR="00A607EA" w:rsidRPr="009F7625">
        <w:rPr>
          <w:rFonts w:ascii="Times New Roman" w:eastAsia="Times New Roman" w:hAnsi="Times New Roman" w:cs="Times New Roman"/>
          <w:i/>
          <w:iCs/>
          <w:sz w:val="28"/>
          <w:szCs w:val="28"/>
        </w:rPr>
        <w:t>ác hoạt chất được gia hạn phê duyệt theo Khoản 7, Điều 4,</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 xml:space="preserve">c) </w:t>
      </w:r>
      <w:r w:rsidR="00A607EA" w:rsidRPr="009F7625">
        <w:rPr>
          <w:i/>
          <w:iCs/>
          <w:sz w:val="28"/>
          <w:szCs w:val="28"/>
        </w:rPr>
        <w:t>Các hoạt chất mà việc gia hạn phê duyệt được ấn định trong một thời hạn giới hạn theo Điều 6(j), đặc biệt trên cơ sở các yếu tố không chắc chắn có liên quan phát sinh từ quá trình đánh giá rủi ro, bao gồm cả các trường hợp do thiếu</w:t>
      </w:r>
      <w:r w:rsidR="00F17B6E" w:rsidRPr="009F7625">
        <w:rPr>
          <w:i/>
          <w:iCs/>
          <w:sz w:val="28"/>
          <w:szCs w:val="28"/>
        </w:rPr>
        <w:t xml:space="preserve"> hụt</w:t>
      </w:r>
      <w:r w:rsidR="00A607EA" w:rsidRPr="009F7625">
        <w:rPr>
          <w:i/>
          <w:iCs/>
          <w:sz w:val="28"/>
          <w:szCs w:val="28"/>
        </w:rPr>
        <w:t xml:space="preserve"> dữ liệu</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10</w:t>
      </w:r>
      <w:r w:rsidR="00AE2365" w:rsidRPr="009F7625">
        <w:rPr>
          <w:sz w:val="28"/>
          <w:szCs w:val="28"/>
        </w:rPr>
        <w:t>.</w:t>
      </w:r>
      <w:r w:rsidRPr="009F7625">
        <w:rPr>
          <w:sz w:val="28"/>
          <w:szCs w:val="28"/>
        </w:rPr>
        <w:t xml:space="preserve"> Điều 18 được thay thế bằng </w:t>
      </w:r>
      <w:r w:rsidR="00AE2365" w:rsidRPr="009F7625">
        <w:rPr>
          <w:sz w:val="28"/>
          <w:szCs w:val="28"/>
        </w:rPr>
        <w:t xml:space="preserve">nội dung </w:t>
      </w:r>
      <w:r w:rsidRPr="009F7625">
        <w:rPr>
          <w:sz w:val="28"/>
          <w:szCs w:val="28"/>
        </w:rPr>
        <w:t>sau:</w:t>
      </w:r>
    </w:p>
    <w:p w:rsidR="003C1BEA" w:rsidRPr="009F7625" w:rsidRDefault="00AE2365"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 xml:space="preserve">“Điều </w:t>
      </w:r>
      <w:r w:rsidR="003C1BEA" w:rsidRPr="009F7625">
        <w:rPr>
          <w:rStyle w:val="Strong"/>
          <w:i/>
          <w:iCs/>
          <w:sz w:val="28"/>
          <w:szCs w:val="28"/>
        </w:rPr>
        <w:t>18</w:t>
      </w:r>
    </w:p>
    <w:p w:rsidR="00AE2365" w:rsidRPr="009F7625" w:rsidRDefault="00AE2365"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b/>
          <w:bCs/>
          <w:i/>
          <w:iCs/>
          <w:sz w:val="28"/>
          <w:szCs w:val="28"/>
        </w:rPr>
        <w:t>Chương trình làm việc về việc gia hạn phê duyệt đối với các hoạt chất có thời hạn phê duyệt không xác định</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Sau khi tham vấn Cơ quan (EFSA), Ủy ban định kỳ ban hành các </w:t>
      </w:r>
      <w:r w:rsidRPr="009F7625">
        <w:rPr>
          <w:b/>
          <w:bCs/>
          <w:i/>
          <w:iCs/>
          <w:sz w:val="28"/>
          <w:szCs w:val="28"/>
        </w:rPr>
        <w:t>văn bản thực thi (implementing acts)</w:t>
      </w:r>
      <w:r w:rsidRPr="009F7625">
        <w:rPr>
          <w:i/>
          <w:iCs/>
          <w:sz w:val="28"/>
          <w:szCs w:val="28"/>
        </w:rPr>
        <w:t xml:space="preserve"> theo thủ tục quy định tại Khoản 3</w:t>
      </w:r>
      <w:r w:rsidR="001A6BED" w:rsidRPr="009F7625">
        <w:rPr>
          <w:i/>
          <w:iCs/>
          <w:sz w:val="28"/>
          <w:szCs w:val="28"/>
        </w:rPr>
        <w:t xml:space="preserve"> </w:t>
      </w:r>
      <w:r w:rsidRPr="009F7625">
        <w:rPr>
          <w:i/>
          <w:iCs/>
          <w:sz w:val="28"/>
          <w:szCs w:val="28"/>
        </w:rPr>
        <w:t>Điều 79 để xác định các hoạt chất hoặc nhóm hoạt chất có thời hạn phê duyệt không xác định nhưng phải thực hiện thủ tục gia hạn.</w:t>
      </w:r>
      <w:r w:rsidR="003C1BEA" w:rsidRPr="009F7625">
        <w:rPr>
          <w:i/>
          <w:iCs/>
          <w:sz w:val="28"/>
          <w:szCs w:val="28"/>
        </w:rPr>
        <w:t>.</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Việc xác định các hoạt chất liên quan phải căn cứ vào các dấu hiệu lo ngại về an toàn đối với sức khỏe con người, động vật hoặc môi trường; kiến thức khoa học hoặc kỹ thuật mới; các dữ liệu giám sát sẵn có; và có thể xem xét các đề nghị từ các </w:t>
      </w:r>
      <w:r w:rsidR="00FE27DE" w:rsidRPr="009F7625">
        <w:rPr>
          <w:i/>
          <w:iCs/>
          <w:sz w:val="28"/>
          <w:szCs w:val="28"/>
        </w:rPr>
        <w:t>q</w:t>
      </w:r>
      <w:r w:rsidRPr="009F7625">
        <w:rPr>
          <w:i/>
          <w:iCs/>
          <w:sz w:val="28"/>
          <w:szCs w:val="28"/>
        </w:rPr>
        <w:t xml:space="preserve">uốc gia </w:t>
      </w:r>
      <w:r w:rsidR="00FE27DE" w:rsidRPr="009F7625">
        <w:rPr>
          <w:i/>
          <w:iCs/>
          <w:sz w:val="28"/>
          <w:szCs w:val="28"/>
        </w:rPr>
        <w:t xml:space="preserve">thành </w:t>
      </w:r>
      <w:r w:rsidRPr="009F7625">
        <w:rPr>
          <w:i/>
          <w:iCs/>
          <w:sz w:val="28"/>
          <w:szCs w:val="28"/>
        </w:rPr>
        <w:t>viên</w:t>
      </w:r>
      <w:r w:rsidR="003C1BEA" w:rsidRPr="009F7625">
        <w:rPr>
          <w:i/>
          <w:iCs/>
          <w:sz w:val="28"/>
          <w:szCs w:val="28"/>
        </w:rPr>
        <w:t>.</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Ủy ban phải ban hành một văn bản thực thi xác định toàn bộ các hoạt chất liên quan chậm nhất là </w:t>
      </w:r>
      <w:r w:rsidRPr="009F7625">
        <w:rPr>
          <w:b/>
          <w:bCs/>
          <w:i/>
          <w:iCs/>
          <w:sz w:val="28"/>
          <w:szCs w:val="28"/>
        </w:rPr>
        <w:t>3 năm</w:t>
      </w:r>
      <w:r w:rsidRPr="009F7625">
        <w:rPr>
          <w:i/>
          <w:iCs/>
          <w:sz w:val="28"/>
          <w:szCs w:val="28"/>
        </w:rPr>
        <w:t xml:space="preserve"> kể từ khi có sửa đổi đối với các tiêu chí phê duyệt tại Phụ lục II liên quan đến các hoạt chất này, hoặc kể từ khi các yêu cầu dữ liệu hoặc tài liệu hướng dẫn cập nhật liên quan bắt đầu được áp dụng</w:t>
      </w:r>
      <w:r w:rsidR="003C1BEA" w:rsidRPr="009F7625">
        <w:rPr>
          <w:i/>
          <w:iCs/>
          <w:sz w:val="28"/>
          <w:szCs w:val="28"/>
        </w:rPr>
        <w:t>.</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Các văn bản thực thi quy định tại </w:t>
      </w:r>
      <w:r w:rsidR="00A65BF9" w:rsidRPr="009F7625">
        <w:rPr>
          <w:i/>
          <w:iCs/>
          <w:sz w:val="28"/>
          <w:szCs w:val="28"/>
        </w:rPr>
        <w:t xml:space="preserve">Khoản </w:t>
      </w:r>
      <w:r w:rsidRPr="009F7625">
        <w:rPr>
          <w:i/>
          <w:iCs/>
          <w:sz w:val="28"/>
          <w:szCs w:val="28"/>
        </w:rPr>
        <w:t>1 phải</w:t>
      </w:r>
      <w:r w:rsidR="003C1BEA" w:rsidRPr="009F7625">
        <w:rPr>
          <w:i/>
          <w:iCs/>
          <w:sz w:val="28"/>
          <w:szCs w:val="28"/>
        </w:rPr>
        <w:t>:</w:t>
      </w:r>
    </w:p>
    <w:p w:rsidR="00AE2365"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a) </w:t>
      </w:r>
      <w:r w:rsidR="00AE2365" w:rsidRPr="009F7625">
        <w:rPr>
          <w:i/>
          <w:iCs/>
          <w:sz w:val="28"/>
          <w:szCs w:val="28"/>
        </w:rPr>
        <w:t xml:space="preserve">Liệt </w:t>
      </w:r>
      <w:r w:rsidRPr="009F7625">
        <w:rPr>
          <w:i/>
          <w:iCs/>
          <w:sz w:val="28"/>
          <w:szCs w:val="28"/>
        </w:rPr>
        <w:t>kê các hoạt chất liên quan;</w:t>
      </w:r>
    </w:p>
    <w:p w:rsidR="00AE2365"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AE2365" w:rsidRPr="009F7625">
        <w:rPr>
          <w:i/>
          <w:iCs/>
          <w:sz w:val="28"/>
          <w:szCs w:val="28"/>
        </w:rPr>
        <w:t xml:space="preserve">Liệt </w:t>
      </w:r>
      <w:r w:rsidRPr="009F7625">
        <w:rPr>
          <w:i/>
          <w:iCs/>
          <w:sz w:val="28"/>
          <w:szCs w:val="28"/>
        </w:rPr>
        <w:t xml:space="preserve">kê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báo cáo viên và đồng báo cáo viên;</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c) </w:t>
      </w:r>
      <w:r w:rsidR="00AE2365" w:rsidRPr="009F7625">
        <w:rPr>
          <w:i/>
          <w:iCs/>
          <w:sz w:val="28"/>
          <w:szCs w:val="28"/>
        </w:rPr>
        <w:t>Quy định thời hạn nộp hồ sơ đề nghị gia hạn, đảm bảo đủ thời gian để tạo lập các dữ liệu cần thiết</w:t>
      </w:r>
      <w:r w:rsidR="0092660A" w:rsidRPr="009F7625">
        <w:rPr>
          <w:i/>
          <w:iCs/>
          <w:sz w:val="28"/>
          <w:szCs w:val="28"/>
        </w:rPr>
        <w:t>;</w:t>
      </w:r>
    </w:p>
    <w:p w:rsidR="00AE2365"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d) Quy định ngày hết hạn phê duyệt tạm thời để đảm bảo đủ thời gian cho việc đánh giá hồ sơ và ban hành quyết định gia hạn.</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3. </w:t>
      </w:r>
      <w:r w:rsidR="003C1BEA" w:rsidRPr="009F7625">
        <w:rPr>
          <w:i/>
          <w:iCs/>
          <w:sz w:val="28"/>
          <w:szCs w:val="28"/>
        </w:rPr>
        <w:t xml:space="preserve">Các Điều 14, </w:t>
      </w:r>
      <w:r w:rsidRPr="009F7625">
        <w:rPr>
          <w:i/>
          <w:iCs/>
          <w:sz w:val="28"/>
          <w:szCs w:val="28"/>
        </w:rPr>
        <w:t xml:space="preserve">Khoản 2 Điều </w:t>
      </w:r>
      <w:r w:rsidR="003C1BEA" w:rsidRPr="009F7625">
        <w:rPr>
          <w:i/>
          <w:iCs/>
          <w:sz w:val="28"/>
          <w:szCs w:val="28"/>
        </w:rPr>
        <w:t>15,</w:t>
      </w:r>
      <w:r w:rsidRPr="009F7625">
        <w:rPr>
          <w:i/>
          <w:iCs/>
          <w:sz w:val="28"/>
          <w:szCs w:val="28"/>
        </w:rPr>
        <w:t xml:space="preserve"> Điều</w:t>
      </w:r>
      <w:r w:rsidR="003C1BEA" w:rsidRPr="009F7625">
        <w:rPr>
          <w:i/>
          <w:iCs/>
          <w:sz w:val="28"/>
          <w:szCs w:val="28"/>
        </w:rPr>
        <w:t xml:space="preserve"> 16,</w:t>
      </w:r>
      <w:r w:rsidRPr="009F7625">
        <w:rPr>
          <w:i/>
          <w:iCs/>
          <w:sz w:val="28"/>
          <w:szCs w:val="28"/>
        </w:rPr>
        <w:t xml:space="preserve"> Điều</w:t>
      </w:r>
      <w:r w:rsidR="003C1BEA" w:rsidRPr="009F7625">
        <w:rPr>
          <w:i/>
          <w:iCs/>
          <w:sz w:val="28"/>
          <w:szCs w:val="28"/>
        </w:rPr>
        <w:t xml:space="preserve"> 17 và </w:t>
      </w:r>
      <w:r w:rsidRPr="009F7625">
        <w:rPr>
          <w:i/>
          <w:iCs/>
          <w:sz w:val="28"/>
          <w:szCs w:val="28"/>
        </w:rPr>
        <w:t xml:space="preserve">Điều </w:t>
      </w:r>
      <w:r w:rsidR="003C1BEA" w:rsidRPr="009F7625">
        <w:rPr>
          <w:i/>
          <w:iCs/>
          <w:sz w:val="28"/>
          <w:szCs w:val="28"/>
        </w:rPr>
        <w:t>20 sẽ được áp dụng."</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11</w:t>
      </w:r>
      <w:r w:rsidR="00AE2365" w:rsidRPr="009F7625">
        <w:rPr>
          <w:sz w:val="28"/>
          <w:szCs w:val="28"/>
        </w:rPr>
        <w:t xml:space="preserve">. Bổ sung mới </w:t>
      </w:r>
      <w:r w:rsidRPr="009F7625">
        <w:rPr>
          <w:sz w:val="28"/>
          <w:szCs w:val="28"/>
        </w:rPr>
        <w:t xml:space="preserve">Điều 18a </w:t>
      </w:r>
      <w:r w:rsidR="00AE2365" w:rsidRPr="009F7625">
        <w:rPr>
          <w:sz w:val="28"/>
          <w:szCs w:val="28"/>
        </w:rPr>
        <w:t>như sau</w:t>
      </w:r>
      <w:r w:rsidRPr="009F7625">
        <w:rPr>
          <w:sz w:val="28"/>
          <w:szCs w:val="28"/>
        </w:rPr>
        <w:t>:</w:t>
      </w:r>
    </w:p>
    <w:p w:rsidR="003C1BEA" w:rsidRPr="009F7625" w:rsidRDefault="00AE2365" w:rsidP="00603B23">
      <w:pPr>
        <w:pStyle w:val="ds-markdown-paragraph"/>
        <w:shd w:val="clear" w:color="auto" w:fill="FFFFFF"/>
        <w:spacing w:before="0" w:beforeAutospacing="0" w:after="0" w:afterAutospacing="0" w:line="360" w:lineRule="atLeast"/>
        <w:ind w:firstLine="709"/>
        <w:jc w:val="center"/>
        <w:rPr>
          <w:b/>
          <w:bCs/>
          <w:i/>
          <w:iCs/>
          <w:sz w:val="28"/>
          <w:szCs w:val="28"/>
        </w:rPr>
      </w:pPr>
      <w:r w:rsidRPr="009F7625">
        <w:rPr>
          <w:rStyle w:val="Strong"/>
          <w:i/>
          <w:iCs/>
          <w:sz w:val="28"/>
          <w:szCs w:val="28"/>
        </w:rPr>
        <w:t xml:space="preserve">“Điều </w:t>
      </w:r>
      <w:r w:rsidR="003C1BEA" w:rsidRPr="009F7625">
        <w:rPr>
          <w:rStyle w:val="Strong"/>
          <w:i/>
          <w:iCs/>
          <w:sz w:val="28"/>
          <w:szCs w:val="28"/>
        </w:rPr>
        <w:t>18a</w:t>
      </w:r>
    </w:p>
    <w:p w:rsidR="003C1BEA" w:rsidRPr="009F7625" w:rsidRDefault="00AE2365" w:rsidP="00D75BB4">
      <w:pPr>
        <w:pStyle w:val="ds-markdown-paragraph"/>
        <w:shd w:val="clear" w:color="auto" w:fill="FFFFFF"/>
        <w:spacing w:before="0" w:beforeAutospacing="0" w:after="0" w:afterAutospacing="0" w:line="360" w:lineRule="atLeast"/>
        <w:jc w:val="center"/>
        <w:rPr>
          <w:b/>
          <w:bCs/>
          <w:i/>
          <w:iCs/>
          <w:sz w:val="28"/>
          <w:szCs w:val="28"/>
        </w:rPr>
      </w:pPr>
      <w:r w:rsidRPr="009F7625">
        <w:rPr>
          <w:b/>
          <w:bCs/>
          <w:i/>
          <w:iCs/>
          <w:sz w:val="28"/>
          <w:szCs w:val="28"/>
        </w:rPr>
        <w:t>Chương trình làm việc về đánh giá lại có trọng tâm đối với các hoạt chất</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1. Ủy ban có thể khởi xướng việc đánh giá lại có trọng tâm đối với việc phê duyệt các hoạt chất vào bất kỳ thời điểm nào nhằm xác minh liệu một số tiêu chí phê duyệt hoặc các khía cạnh cụ thể của các tiêu chí đó, xét theo các tri thức khoa học và kỹ thuật hiện hành còn được đáp ứng hay không</w:t>
      </w:r>
      <w:r w:rsidR="003C1BEA" w:rsidRPr="009F7625">
        <w:rPr>
          <w:i/>
          <w:iCs/>
          <w:sz w:val="28"/>
          <w:szCs w:val="28"/>
        </w:rPr>
        <w:t>.</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Sau khi tham vấn Cơ quan, Ủy ban có thể, theo thủ tục quy định tại Khoản 3 Điều 79, ban hành các văn bản thực thi nhằm xác định các hoạt chất hoặc nhóm hoạt chất có thời hạn phê duyệt có giới hạn hoặc không xác định phải thực hiện đánh giá lại có trọng tâm.</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Việc xác định các hoạt chất liên quan phải căn cứ trên các tiêu chí tương tự như các tiêu chí quy định tại Khoản 1 Điều 18.</w:t>
      </w:r>
    </w:p>
    <w:p w:rsidR="003C1BEA" w:rsidRPr="009F7625" w:rsidRDefault="00AE23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Các văn bản thực thi quy định tại </w:t>
      </w:r>
      <w:r w:rsidR="00A65BF9" w:rsidRPr="009F7625">
        <w:rPr>
          <w:i/>
          <w:iCs/>
          <w:sz w:val="28"/>
          <w:szCs w:val="28"/>
        </w:rPr>
        <w:t xml:space="preserve">Khoản </w:t>
      </w:r>
      <w:r w:rsidRPr="009F7625">
        <w:rPr>
          <w:i/>
          <w:iCs/>
          <w:sz w:val="28"/>
          <w:szCs w:val="28"/>
        </w:rPr>
        <w:t>1 phải</w:t>
      </w:r>
      <w:r w:rsidR="003C1BEA" w:rsidRPr="009F7625">
        <w:rPr>
          <w:i/>
          <w:iCs/>
          <w:sz w:val="28"/>
          <w:szCs w:val="28"/>
        </w:rPr>
        <w:t>:</w:t>
      </w:r>
    </w:p>
    <w:p w:rsidR="00BD42C4"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a) </w:t>
      </w:r>
      <w:r w:rsidR="0092660A" w:rsidRPr="009F7625">
        <w:rPr>
          <w:i/>
          <w:iCs/>
          <w:sz w:val="28"/>
          <w:szCs w:val="28"/>
        </w:rPr>
        <w:t>L</w:t>
      </w:r>
      <w:r w:rsidR="00BD42C4" w:rsidRPr="009F7625">
        <w:rPr>
          <w:i/>
          <w:iCs/>
          <w:sz w:val="28"/>
          <w:szCs w:val="28"/>
        </w:rPr>
        <w:t xml:space="preserve">iệt </w:t>
      </w:r>
      <w:r w:rsidRPr="009F7625">
        <w:rPr>
          <w:i/>
          <w:iCs/>
          <w:sz w:val="28"/>
          <w:szCs w:val="28"/>
        </w:rPr>
        <w:t>kê các hoạt chất liên quan;</w:t>
      </w:r>
    </w:p>
    <w:p w:rsidR="00BD42C4"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BD42C4" w:rsidRPr="009F7625">
        <w:rPr>
          <w:i/>
          <w:iCs/>
          <w:sz w:val="28"/>
          <w:szCs w:val="28"/>
        </w:rPr>
        <w:t xml:space="preserve">Liệt </w:t>
      </w:r>
      <w:r w:rsidRPr="009F7625">
        <w:rPr>
          <w:i/>
          <w:iCs/>
          <w:sz w:val="28"/>
          <w:szCs w:val="28"/>
        </w:rPr>
        <w:t xml:space="preserve">kê các </w:t>
      </w:r>
      <w:r w:rsidR="00BD42C4" w:rsidRPr="009F7625">
        <w:rPr>
          <w:i/>
          <w:iCs/>
          <w:sz w:val="28"/>
          <w:szCs w:val="28"/>
        </w:rPr>
        <w:t xml:space="preserve">quốc </w:t>
      </w:r>
      <w:r w:rsidRPr="009F7625">
        <w:rPr>
          <w:i/>
          <w:iCs/>
          <w:sz w:val="28"/>
          <w:szCs w:val="28"/>
        </w:rPr>
        <w:t xml:space="preserve">gia </w:t>
      </w:r>
      <w:r w:rsidR="00BD42C4" w:rsidRPr="009F7625">
        <w:rPr>
          <w:i/>
          <w:iCs/>
          <w:sz w:val="28"/>
          <w:szCs w:val="28"/>
        </w:rPr>
        <w:t xml:space="preserve">thành </w:t>
      </w:r>
      <w:r w:rsidRPr="009F7625">
        <w:rPr>
          <w:i/>
          <w:iCs/>
          <w:sz w:val="28"/>
          <w:szCs w:val="28"/>
        </w:rPr>
        <w:t>viên báo cáo viên và đồng báo cáo viên;</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c) </w:t>
      </w:r>
      <w:r w:rsidR="00BD42C4" w:rsidRPr="009F7625">
        <w:rPr>
          <w:i/>
          <w:iCs/>
          <w:sz w:val="28"/>
          <w:szCs w:val="28"/>
        </w:rPr>
        <w:t>Xác định phạm vi của việc đánh giá lại có trọng tâm đối với các hoạt chất liên quan, đồng thời nêu rõ các yêu cầu dữ liệu cụ thể áp dụng và, khi phù hợp, các tài liệu hướng dẫn và/hoặc các ý kiến khoa học phải được sử dụng</w:t>
      </w:r>
      <w:r w:rsidRPr="009F7625">
        <w:rPr>
          <w:i/>
          <w:iCs/>
          <w:sz w:val="28"/>
          <w:szCs w:val="28"/>
        </w:rPr>
        <w:t>.</w:t>
      </w:r>
    </w:p>
    <w:p w:rsidR="00BD42C4" w:rsidRPr="009F7625" w:rsidRDefault="00BD42C4"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d) Quy định thời hạn nộp các thông tin cần thiết đối với các hoạt chất liên quan, bảo đảm có đủ thời gian để tạo lập các dữ liệu cần thiết và nộp các thông tin đó.</w:t>
      </w:r>
    </w:p>
    <w:p w:rsidR="003C1BEA" w:rsidRPr="009F7625" w:rsidRDefault="00BD42C4"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3. Trong trường hợp Ủy ban kết luận rằng việc tuân thủ các tiêu chí phê duyệt liên quan thuộc phạm vi đánh giá lại có trọng tâm đã được chứng minh, Ủy ban sẽ ban hành văn bản thực thi, theo thủ tục quy định tại Khoản 3 Điều 79, để xác nhận việc phê duyệt, trong trường hợp cần thiết kèm theo các điều kiện và hạn chế theo quy định tại Điều 6.</w:t>
      </w:r>
    </w:p>
    <w:p w:rsidR="003C1BEA" w:rsidRPr="009F7625" w:rsidRDefault="00BD42C4"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4. Trường hợp các thông tin quy định tại điểm d khoản 2 không được cung cấp trong thời hạn đã ấn định, Ủy ban sẽ ban hành văn bản thực thi để thu hồi việc phê duyệt theo thủ tục quy định tại Khoản 3 Điều 79</w:t>
      </w:r>
      <w:r w:rsidR="003C1BEA" w:rsidRPr="009F7625">
        <w:rPr>
          <w:i/>
          <w:iCs/>
          <w:sz w:val="28"/>
          <w:szCs w:val="28"/>
        </w:rPr>
        <w:t>.</w:t>
      </w:r>
    </w:p>
    <w:p w:rsidR="003C1BEA" w:rsidRPr="009F7625" w:rsidRDefault="00BD42C4"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Trong trường hợp Ủy ban kết luận rằng các tiêu chí phê duyệt thuộc phạm vi đánh giá lại có trọng tâm không còn được đáp ứng, Ủy ban sẽ ban hành văn bản thực thi để thu hồi việc phê duyệt theo thủ tục quy định tại</w:t>
      </w:r>
      <w:r w:rsidR="00AA0389" w:rsidRPr="009F7625">
        <w:rPr>
          <w:i/>
          <w:iCs/>
          <w:sz w:val="28"/>
          <w:szCs w:val="28"/>
        </w:rPr>
        <w:t xml:space="preserve"> Khoản 3</w:t>
      </w:r>
      <w:r w:rsidRPr="009F7625">
        <w:rPr>
          <w:i/>
          <w:iCs/>
          <w:sz w:val="28"/>
          <w:szCs w:val="28"/>
        </w:rPr>
        <w:t xml:space="preserve"> Điều 79. Trong trường hợp áp dụng cơ chế ngoại lệ quy định tại</w:t>
      </w:r>
      <w:r w:rsidR="00AA0389" w:rsidRPr="009F7625">
        <w:rPr>
          <w:i/>
          <w:iCs/>
          <w:sz w:val="28"/>
          <w:szCs w:val="28"/>
        </w:rPr>
        <w:t xml:space="preserve"> Khoản 7</w:t>
      </w:r>
      <w:r w:rsidRPr="009F7625">
        <w:rPr>
          <w:i/>
          <w:iCs/>
          <w:sz w:val="28"/>
          <w:szCs w:val="28"/>
        </w:rPr>
        <w:t xml:space="preserve"> Điều 4, văn bản thực thi đó có thể sửa đổi việc phê duyệt.</w:t>
      </w:r>
    </w:p>
    <w:p w:rsidR="003C1BEA" w:rsidRPr="009F7625" w:rsidRDefault="00BD42C4"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5. </w:t>
      </w:r>
      <w:r w:rsidR="003C1BEA" w:rsidRPr="009F7625">
        <w:rPr>
          <w:i/>
          <w:iCs/>
          <w:sz w:val="28"/>
          <w:szCs w:val="28"/>
        </w:rPr>
        <w:t>Các</w:t>
      </w:r>
      <w:r w:rsidRPr="009F7625">
        <w:rPr>
          <w:i/>
          <w:iCs/>
          <w:sz w:val="28"/>
          <w:szCs w:val="28"/>
        </w:rPr>
        <w:t xml:space="preserve"> Khoản 4</w:t>
      </w:r>
      <w:r w:rsidR="003C1BEA" w:rsidRPr="009F7625">
        <w:rPr>
          <w:i/>
          <w:iCs/>
          <w:sz w:val="28"/>
          <w:szCs w:val="28"/>
        </w:rPr>
        <w:t xml:space="preserve"> Điều 13, </w:t>
      </w:r>
      <w:r w:rsidRPr="009F7625">
        <w:rPr>
          <w:i/>
          <w:iCs/>
          <w:sz w:val="28"/>
          <w:szCs w:val="28"/>
        </w:rPr>
        <w:t xml:space="preserve">Điều </w:t>
      </w:r>
      <w:r w:rsidR="003C1BEA" w:rsidRPr="009F7625">
        <w:rPr>
          <w:i/>
          <w:iCs/>
          <w:sz w:val="28"/>
          <w:szCs w:val="28"/>
        </w:rPr>
        <w:t xml:space="preserve">17 và </w:t>
      </w:r>
      <w:r w:rsidRPr="009F7625">
        <w:rPr>
          <w:i/>
          <w:iCs/>
          <w:sz w:val="28"/>
          <w:szCs w:val="28"/>
        </w:rPr>
        <w:t xml:space="preserve">Khoản 2 Điều </w:t>
      </w:r>
      <w:r w:rsidR="003C1BEA" w:rsidRPr="009F7625">
        <w:rPr>
          <w:i/>
          <w:iCs/>
          <w:sz w:val="28"/>
          <w:szCs w:val="28"/>
        </w:rPr>
        <w:t>20 được áp dụng."</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12</w:t>
      </w:r>
      <w:r w:rsidR="00BD42C4" w:rsidRPr="009F7625">
        <w:rPr>
          <w:sz w:val="28"/>
          <w:szCs w:val="28"/>
        </w:rPr>
        <w:t>.</w:t>
      </w:r>
      <w:r w:rsidRPr="009F7625">
        <w:rPr>
          <w:sz w:val="28"/>
          <w:szCs w:val="28"/>
        </w:rPr>
        <w:t xml:space="preserve"> Điều 19 được thay thế bằng </w:t>
      </w:r>
      <w:r w:rsidR="00BD42C4" w:rsidRPr="009F7625">
        <w:rPr>
          <w:sz w:val="28"/>
          <w:szCs w:val="28"/>
        </w:rPr>
        <w:t xml:space="preserve">nội dung </w:t>
      </w:r>
      <w:r w:rsidRPr="009F7625">
        <w:rPr>
          <w:sz w:val="28"/>
          <w:szCs w:val="28"/>
        </w:rPr>
        <w:t>sau:</w:t>
      </w:r>
    </w:p>
    <w:p w:rsidR="003C1BEA" w:rsidRPr="009F7625" w:rsidRDefault="00BD42C4"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19</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lastRenderedPageBreak/>
        <w:t>Các biện pháp thực thi</w:t>
      </w:r>
    </w:p>
    <w:p w:rsidR="003C1BEA" w:rsidRPr="009F7625" w:rsidRDefault="00BD42C4"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Một văn bản thực thi được ban hành theo thủ tục quy định tại Khoản 3 Điều 79 sẽ quy định các nội dung cần thiết để thực hiện thủ tục gia hạn phê duyệt và thủ tục đánh giá lại có trọng tâm theo quy định tại Tiểu mục 3 này</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13</w:t>
      </w:r>
      <w:r w:rsidR="00BD42C4" w:rsidRPr="009F7625">
        <w:rPr>
          <w:sz w:val="28"/>
          <w:szCs w:val="28"/>
        </w:rPr>
        <w:t xml:space="preserve">.Khoản 2, </w:t>
      </w:r>
      <w:r w:rsidRPr="009F7625">
        <w:rPr>
          <w:sz w:val="28"/>
          <w:szCs w:val="28"/>
        </w:rPr>
        <w:t>Điều 20</w:t>
      </w:r>
      <w:r w:rsidR="0092660A" w:rsidRPr="009F7625">
        <w:rPr>
          <w:sz w:val="28"/>
          <w:szCs w:val="28"/>
        </w:rPr>
        <w:t xml:space="preserve"> </w:t>
      </w:r>
      <w:r w:rsidRPr="009F7625">
        <w:rPr>
          <w:sz w:val="28"/>
          <w:szCs w:val="28"/>
        </w:rPr>
        <w:t xml:space="preserve">được thay thế bằng </w:t>
      </w:r>
      <w:r w:rsidR="00BD42C4" w:rsidRPr="009F7625">
        <w:rPr>
          <w:sz w:val="28"/>
          <w:szCs w:val="28"/>
        </w:rPr>
        <w:t xml:space="preserve">nội dung </w:t>
      </w:r>
      <w:r w:rsidRPr="009F7625">
        <w:rPr>
          <w:sz w:val="28"/>
          <w:szCs w:val="28"/>
        </w:rPr>
        <w:t>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w:t>
      </w:r>
      <w:r w:rsidR="008B34C3" w:rsidRPr="009F7625">
        <w:rPr>
          <w:i/>
          <w:iCs/>
          <w:sz w:val="28"/>
          <w:szCs w:val="28"/>
        </w:rPr>
        <w:t xml:space="preserve">Quy định được dẫn chiếu tại </w:t>
      </w:r>
      <w:r w:rsidR="00A65BF9" w:rsidRPr="009F7625">
        <w:rPr>
          <w:i/>
          <w:iCs/>
          <w:sz w:val="28"/>
          <w:szCs w:val="28"/>
        </w:rPr>
        <w:t xml:space="preserve">Khoản </w:t>
      </w:r>
      <w:r w:rsidR="008B34C3" w:rsidRPr="009F7625">
        <w:rPr>
          <w:i/>
          <w:iCs/>
          <w:sz w:val="28"/>
          <w:szCs w:val="28"/>
        </w:rPr>
        <w:t>1 phải quy định thời hạn ân hạn tối đa mà các quốc gia thành viên có thể áp dụng khi thu hồi hoặc sửa đổi giấy phép đối với các sản phẩm bảo vệ thực vật do hệ quả của Quy định đó. Thời hạn ân hạn tối đa này thông thường không vượt quá 6 tháng đối với việc bán và phân phối, và tối đa thêm 1 năm đối với việc xử lý, lưu trữ và sử dụng lượng tồn kho của các sản phẩm bảo vệ thực vật liên quan</w:t>
      </w:r>
      <w:r w:rsidRPr="009F7625">
        <w:rPr>
          <w:i/>
          <w:iCs/>
          <w:sz w:val="28"/>
          <w:szCs w:val="28"/>
        </w:rPr>
        <w:t>.</w:t>
      </w:r>
    </w:p>
    <w:p w:rsidR="003C1BEA" w:rsidRPr="009F7625" w:rsidRDefault="008B34C3"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 xml:space="preserve">Trong trường hợp không có các biện pháp hợp lý khác để thay thế các sản phẩm bảo vệ thực vật có chứa hoạt chất liên quan, thời hạn ân hạn tối đa không được vượt quá 1 năm đối với việc bán và phân phối, và tối đa thêm 2 năm đối với việc xử lý, lưu trữ và sử dụng lượng tồn kho của các sản phẩm bảo vệ thực vật liên quan. Trong trường hợp việc thu hồi hoặc không gia hạn phê duyệt xuất phát từ các quan ngại nghiêm trọng và tức thời đối với sức khỏe con người, sức khỏe động vật hoặc môi trường, Quy định được dẫn chiếu tại </w:t>
      </w:r>
      <w:r w:rsidR="00A65BF9" w:rsidRPr="009F7625">
        <w:rPr>
          <w:i/>
          <w:iCs/>
          <w:sz w:val="28"/>
          <w:szCs w:val="28"/>
        </w:rPr>
        <w:t xml:space="preserve">Khoản </w:t>
      </w:r>
      <w:r w:rsidRPr="009F7625">
        <w:rPr>
          <w:i/>
          <w:iCs/>
          <w:sz w:val="28"/>
          <w:szCs w:val="28"/>
        </w:rPr>
        <w:t>1 phải quy định rằng các quốc gia thành viên không được áp dụng thời hạn ân hạn</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14</w:t>
      </w:r>
      <w:r w:rsidR="008B34C3" w:rsidRPr="009F7625">
        <w:rPr>
          <w:sz w:val="28"/>
          <w:szCs w:val="28"/>
        </w:rPr>
        <w:t>.</w:t>
      </w:r>
      <w:r w:rsidR="0092660A" w:rsidRPr="009F7625">
        <w:rPr>
          <w:sz w:val="28"/>
          <w:szCs w:val="28"/>
        </w:rPr>
        <w:t xml:space="preserve"> </w:t>
      </w:r>
      <w:r w:rsidR="00407ABF" w:rsidRPr="009F7625">
        <w:rPr>
          <w:sz w:val="28"/>
          <w:szCs w:val="28"/>
        </w:rPr>
        <w:t>Khoản 1 và Khoản 2 Điều 22 được thay thế bằng nội dung 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w:t>
      </w:r>
      <w:r w:rsidR="00407ABF" w:rsidRPr="009F7625">
        <w:rPr>
          <w:i/>
          <w:iCs/>
          <w:sz w:val="28"/>
          <w:szCs w:val="28"/>
        </w:rPr>
        <w:t>1. Một hoạt chất đáp ứng các tiêu chí quy định tại Điều 4 và tại điểm 5 của Phụ lục II sẽ được phê duyệt là hoạt chất có nguy cơ thấp.</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2. Các Điều từ 4 đến 21 được áp dụng. Các hoạt chất có nguy cơ thấp phải được liệt kê riêng trong Quy định được dẫn chiếu tại Khoản 4 Điều 13.”</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15</w:t>
      </w:r>
      <w:r w:rsidR="00407ABF" w:rsidRPr="009F7625">
        <w:rPr>
          <w:sz w:val="28"/>
          <w:szCs w:val="28"/>
        </w:rPr>
        <w:t>.</w:t>
      </w:r>
      <w:r w:rsidRPr="009F7625">
        <w:rPr>
          <w:sz w:val="28"/>
          <w:szCs w:val="28"/>
        </w:rPr>
        <w:t xml:space="preserve"> Điều 23 được thay thế bằng </w:t>
      </w:r>
      <w:r w:rsidR="00407ABF" w:rsidRPr="009F7625">
        <w:rPr>
          <w:sz w:val="28"/>
          <w:szCs w:val="28"/>
        </w:rPr>
        <w:t xml:space="preserve">nội dung </w:t>
      </w:r>
      <w:r w:rsidRPr="009F7625">
        <w:rPr>
          <w:sz w:val="28"/>
          <w:szCs w:val="28"/>
        </w:rPr>
        <w:t>sau:</w:t>
      </w:r>
    </w:p>
    <w:p w:rsidR="003C1BEA" w:rsidRPr="009F7625" w:rsidRDefault="00407ABF"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23</w:t>
      </w:r>
    </w:p>
    <w:p w:rsidR="00407ABF" w:rsidRPr="009F7625" w:rsidRDefault="00407ABF"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b/>
          <w:bCs/>
          <w:i/>
          <w:iCs/>
          <w:sz w:val="28"/>
          <w:szCs w:val="28"/>
        </w:rPr>
        <w:t>Tiêu chí phê duyệt đối với chất cơ bản</w:t>
      </w:r>
    </w:p>
    <w:p w:rsidR="003C1BEA"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1. Việc phê duyệt được cấp theo Điều này và Điều 23a bao gồm</w:t>
      </w:r>
      <w:r w:rsidR="003C1BEA" w:rsidRPr="009F7625">
        <w:rPr>
          <w:i/>
          <w:iCs/>
          <w:sz w:val="28"/>
          <w:szCs w:val="28"/>
        </w:rPr>
        <w:t>:</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a) Việc sử dụng trực tiếp chất cơ bản cho mục đích bảo vệ thực vật dưới chính dạng của nó hoặc khi được người sử dụng trực tiếp tạo ra từ thực vật hoặc các bộ phận của thực vật sau khi thực hiện các bước chuẩn bị đơn giản</w:t>
      </w:r>
      <w:r w:rsidR="003C1BEA" w:rsidRPr="009F7625">
        <w:rPr>
          <w:i/>
          <w:iCs/>
          <w:sz w:val="28"/>
          <w:szCs w:val="28"/>
        </w:rPr>
        <w:t>;</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Việc sử dụng chất cơ bản trong một sản phẩm bao gồm chất cơ bản đó và, khi phù hợp, một chất pha loãng đơn giản, các chất cơ bản khác hoặc các chấ</w:t>
      </w:r>
      <w:r w:rsidR="0092660A" w:rsidRPr="009F7625">
        <w:rPr>
          <w:i/>
          <w:iCs/>
          <w:sz w:val="28"/>
          <w:szCs w:val="28"/>
        </w:rPr>
        <w:t>t cần thiết để ổn định sản phẩm;</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 xml:space="preserve">c) </w:t>
      </w:r>
      <w:r w:rsidR="00407ABF" w:rsidRPr="009F7625">
        <w:rPr>
          <w:i/>
          <w:iCs/>
          <w:sz w:val="28"/>
          <w:szCs w:val="28"/>
        </w:rPr>
        <w:t>Bất kỳ sản phẩm nào có chứa chất cơ bản với thành phần không phù hợp với điểm b của đoạn thứ nhất sẽ được coi là sản phẩm bảo vệ thực vật và phải được cấp phép theo quy định tại Chương III</w:t>
      </w:r>
      <w:r w:rsidRPr="009F7625">
        <w:rPr>
          <w:i/>
          <w:iCs/>
          <w:sz w:val="28"/>
          <w:szCs w:val="28"/>
        </w:rPr>
        <w:t>.</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2. Theo cơ chế ngoại lệ so với Điều 4, một chất cơ bản sẽ được phê duyệt khi tất cả các tiêu chí sau đây được đáp ứng:</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a) Chất cơ bản không phải là chất đáng quan ngại, hoặc việc phân loại nguy hại của chất theo Quy định (EC) số 1272/2008 không áp dụng đối với sản phẩm mà trong đó chất đó được phê duyệt để sử dụng;</w:t>
      </w:r>
    </w:p>
    <w:p w:rsidR="00D75BB4"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Chất cơ bản hoặc sản phẩm có chứa chất đó không có khả năng nội tại gây ra các tác động gây rối loạn nội tiết, gây độc thần kinh hoặc gây độc đối với hệ miễn dịch;</w:t>
      </w:r>
    </w:p>
    <w:p w:rsidR="00407ABF" w:rsidRPr="009F7625" w:rsidRDefault="00407AB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c) Tại thời điểm nộp hồ sơ đề nghị phê duyệt với tư cách là chất cơ bản, chất đó không phải là hoạt chất đã được phê duyệt để sử dụng trong các sản phẩm bảo vệ thực vật và cũng không có hồ sơ đề nghị phê duyệt với tư cách là hoạt chất đang được xem xét;</w:t>
      </w:r>
    </w:p>
    <w:p w:rsidR="003C1BEA" w:rsidRPr="009F7625" w:rsidRDefault="00407A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d) Chất cơ bản hoặc sản phẩm có chứa chất đó không gây ra các tác động có hại tức thời hoặc chậm trễ đối với sức khỏe con người, bao gồm cả các nhóm dễ bị tổn thương, hoặc đối với sức khỏe động vật, cũng như không gây ra các tác động không thể chấp nhận được đối với môi trường phát sinh từ việc sử dụng cho mục đích bảo vệ thực vật</w:t>
      </w:r>
      <w:r w:rsidR="003C1BEA" w:rsidRPr="009F7625">
        <w:rPr>
          <w:i/>
          <w:iCs/>
          <w:sz w:val="28"/>
          <w:szCs w:val="28"/>
        </w:rPr>
        <w:t>"</w:t>
      </w:r>
      <w:r w:rsidR="00D75BB4"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16</w:t>
      </w:r>
      <w:r w:rsidR="002E324E" w:rsidRPr="009F7625">
        <w:rPr>
          <w:sz w:val="28"/>
          <w:szCs w:val="28"/>
        </w:rPr>
        <w:t>.</w:t>
      </w:r>
      <w:r w:rsidR="00D75BB4" w:rsidRPr="009F7625">
        <w:rPr>
          <w:sz w:val="28"/>
          <w:szCs w:val="28"/>
        </w:rPr>
        <w:t xml:space="preserve"> </w:t>
      </w:r>
      <w:r w:rsidR="009E21B0" w:rsidRPr="009F7625">
        <w:rPr>
          <w:sz w:val="28"/>
          <w:szCs w:val="28"/>
        </w:rPr>
        <w:t xml:space="preserve">Bổ sung </w:t>
      </w:r>
      <w:r w:rsidRPr="009F7625">
        <w:rPr>
          <w:sz w:val="28"/>
          <w:szCs w:val="28"/>
        </w:rPr>
        <w:t xml:space="preserve">Điều 23a mới </w:t>
      </w:r>
      <w:r w:rsidR="009E21B0" w:rsidRPr="009F7625">
        <w:rPr>
          <w:sz w:val="28"/>
          <w:szCs w:val="28"/>
        </w:rPr>
        <w:t>như sau</w:t>
      </w:r>
      <w:r w:rsidRPr="009F7625">
        <w:rPr>
          <w:sz w:val="28"/>
          <w:szCs w:val="28"/>
        </w:rPr>
        <w:t>:</w:t>
      </w:r>
    </w:p>
    <w:p w:rsidR="003C1BEA" w:rsidRPr="009F7625" w:rsidRDefault="009E21B0"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 xml:space="preserve">“Điều </w:t>
      </w:r>
      <w:r w:rsidR="003C1BEA" w:rsidRPr="009F7625">
        <w:rPr>
          <w:rStyle w:val="Strong"/>
          <w:i/>
          <w:iCs/>
          <w:sz w:val="28"/>
          <w:szCs w:val="28"/>
        </w:rPr>
        <w:t>23a</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Thủ tục phê duyệt và ghi nhãn chất cơ bản</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Theo cơ chế ngoại lệ so với Điều 7, hồ sơ đề nghị phê duyệt một chất cơ bản sẽ được một </w:t>
      </w:r>
      <w:r w:rsidR="00FE27DE" w:rsidRPr="009F7625">
        <w:rPr>
          <w:i/>
          <w:iCs/>
          <w:sz w:val="28"/>
          <w:szCs w:val="28"/>
        </w:rPr>
        <w:t>Q</w:t>
      </w:r>
      <w:r w:rsidRPr="009F7625">
        <w:rPr>
          <w:i/>
          <w:iCs/>
          <w:sz w:val="28"/>
          <w:szCs w:val="28"/>
        </w:rPr>
        <w:t xml:space="preserve">uốc gia </w:t>
      </w:r>
      <w:r w:rsidR="00FE27DE" w:rsidRPr="009F7625">
        <w:rPr>
          <w:i/>
          <w:iCs/>
          <w:sz w:val="28"/>
          <w:szCs w:val="28"/>
        </w:rPr>
        <w:t xml:space="preserve">thành </w:t>
      </w:r>
      <w:r w:rsidRPr="009F7625">
        <w:rPr>
          <w:i/>
          <w:iCs/>
          <w:sz w:val="28"/>
          <w:szCs w:val="28"/>
        </w:rPr>
        <w:t>viên hoặc bất kỳ bên quan tâm nào nộp cho Ủy ban</w:t>
      </w:r>
      <w:r w:rsidR="00D75BB4" w:rsidRPr="009F7625">
        <w:rPr>
          <w:i/>
          <w:iCs/>
          <w:sz w:val="28"/>
          <w:szCs w:val="28"/>
        </w:rPr>
        <w:t>, h</w:t>
      </w:r>
      <w:r w:rsidRPr="009F7625">
        <w:rPr>
          <w:i/>
          <w:iCs/>
          <w:sz w:val="28"/>
          <w:szCs w:val="28"/>
        </w:rPr>
        <w:t>ồ sơ đề nghị phải kèm theo các thông tin sau đây</w:t>
      </w:r>
      <w:r w:rsidR="003C1BEA" w:rsidRPr="009F7625">
        <w:rPr>
          <w:i/>
          <w:iCs/>
          <w:sz w:val="28"/>
          <w:szCs w:val="28"/>
        </w:rPr>
        <w:t>:</w:t>
      </w:r>
    </w:p>
    <w:p w:rsidR="00D75BB4"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a) Các mục đích sử dụng dự kiến và các điều kiện sử dụng đề xuất của chất cơ bản;</w:t>
      </w:r>
    </w:p>
    <w:p w:rsidR="009E21B0"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9E21B0" w:rsidRPr="009F7625">
        <w:rPr>
          <w:i/>
          <w:iCs/>
          <w:sz w:val="28"/>
          <w:szCs w:val="28"/>
        </w:rPr>
        <w:t>Bất kỳ đánh giá nào về các tác động tiềm tàng của chất đó đối với sức khỏe con người, sức khỏe động vật hoặc môi trường được thực hiện theo các quy định pháp luật khác của Liên minh điều chỉnh việc sử dụng chất đó;</w:t>
      </w:r>
    </w:p>
    <w:p w:rsidR="003C1BEA" w:rsidRPr="009F7625" w:rsidRDefault="003C1BEA" w:rsidP="00603B23">
      <w:pPr>
        <w:pStyle w:val="ds-markdown-paragraph"/>
        <w:shd w:val="clear" w:color="auto" w:fill="FFFFFF"/>
        <w:spacing w:before="120" w:after="120" w:line="360" w:lineRule="atLeast"/>
        <w:ind w:firstLine="709"/>
        <w:jc w:val="both"/>
        <w:rPr>
          <w:i/>
          <w:iCs/>
          <w:sz w:val="28"/>
          <w:szCs w:val="28"/>
        </w:rPr>
      </w:pPr>
      <w:r w:rsidRPr="009F7625">
        <w:rPr>
          <w:i/>
          <w:iCs/>
          <w:sz w:val="28"/>
          <w:szCs w:val="28"/>
        </w:rPr>
        <w:t xml:space="preserve">c) </w:t>
      </w:r>
      <w:r w:rsidR="009E21B0" w:rsidRPr="009F7625">
        <w:rPr>
          <w:i/>
          <w:iCs/>
          <w:sz w:val="28"/>
          <w:szCs w:val="28"/>
        </w:rPr>
        <w:t>Các thông tin liên quan khác về các tác động tiềm tàng của chất đó đối với sức khỏe con người, sức khỏe động vật hoặc môi trường</w:t>
      </w:r>
      <w:r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 xml:space="preserve">2. Ủy ban sẽ yêu cầu </w:t>
      </w:r>
      <w:r w:rsidR="00D75BB4" w:rsidRPr="009F7625">
        <w:rPr>
          <w:i/>
          <w:iCs/>
          <w:sz w:val="28"/>
          <w:szCs w:val="28"/>
        </w:rPr>
        <w:t>c</w:t>
      </w:r>
      <w:r w:rsidRPr="009F7625">
        <w:rPr>
          <w:i/>
          <w:iCs/>
          <w:sz w:val="28"/>
          <w:szCs w:val="28"/>
        </w:rPr>
        <w:t>ơ quan đưa ra ý kiến hoặc cung cấp hỗ trợ khoa học hoặc kỹ thuật. Cơ quan phải cung cấp ý kiến của mình hoặc kết quả công việc cho Ủy ban trong thời hạn 3 tháng kể từ ngày nhận được yêu cầu</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3. Các Điều 6 và 13 được áp dụng. Các chất cơ bản phải được liệt kê riêng trong Quy định được dẫn chiếu tại Khoản 4 Điều 13</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4. Việc phê duyệt bao gồm tất cả các mục đích sử dụng đã được phê duyệt của chất cơ bản và mọi sản phẩm có chứa chất đó theo quy định tại Khoản 1 Điều 23, mà không bị giới hạn bởi các mục đích sử dụng đã được nộp trong hồ sơ đề nghị. Việc phê duyệt được cấp với thời hạn không xác định và các Điều từ 59 đến 62 không được áp dụng</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5. Trong trường hợp một chất đã được phê duyệt là chất cơ bản sau đó cũng được phê duyệt là hoạt chất không phải là chất cơ bản, việc phê duyệt sau đó sẽ không ảnh hưởng đến việc phê duyệt hiện có với tư cách là chất cơ bản, cũng như không ảnh hưởng đến việc đưa ra thị trường và sử dụng chất đó với tư cách là chất cơ bản hoặc sản phẩm quy định tại Khoản 1 Điều 23.</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6. Bất kỳ người nộp hồ sơ nào cũng có thể đề nghị mở rộng các mục đích sử dụng đã được phê duyệt của một chất cơ bản. Các khoản từ 1 đến 4 được áp dụng. Khi có căn cứ dựa trên kết quả đánh giá, Ủy ban sẽ cập nhật báo cáo rà soát đối với chất cơ bản đó, bao gồm việc dẫn chiếu đến báo cáo rà soát tương ứng trong Quy định phê duyệt</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7. Ủy ban có thể rà soát việc phê duyệt một chất cơ bản vào bất kỳ thời điểm nào. Ủy ban có thể xem xét cả yêu cầu của một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về việc rà soát việc phê duyệt đó</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Trường hợp Ủy ban cho rằng có dấu hiệu cho thấy chất đó không còn đáp ứng các tiêu chí quy định tại khoản 2 Điều 23, Ủy ban sẽ thông báo cho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00D75BB4" w:rsidRPr="009F7625">
        <w:rPr>
          <w:i/>
          <w:iCs/>
          <w:sz w:val="28"/>
          <w:szCs w:val="28"/>
        </w:rPr>
        <w:t>viên, c</w:t>
      </w:r>
      <w:r w:rsidRPr="009F7625">
        <w:rPr>
          <w:i/>
          <w:iCs/>
          <w:sz w:val="28"/>
          <w:szCs w:val="28"/>
        </w:rPr>
        <w:t>ơ quan và các bên liên quan, đồng thời ấn định thời hạn để các bên này gửi ý kiến</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Ủy ban sẽ yêu cầu </w:t>
      </w:r>
      <w:r w:rsidR="00D75BB4" w:rsidRPr="009F7625">
        <w:rPr>
          <w:i/>
          <w:iCs/>
          <w:sz w:val="28"/>
          <w:szCs w:val="28"/>
        </w:rPr>
        <w:t>c</w:t>
      </w:r>
      <w:r w:rsidRPr="009F7625">
        <w:rPr>
          <w:i/>
          <w:iCs/>
          <w:sz w:val="28"/>
          <w:szCs w:val="28"/>
        </w:rPr>
        <w:t>ơ quan đưa ra ý kiến hoặc cung cấp hỗ trợ khoa học hoặc kỹ thuật. Cơ quan phải cung cấp ý kiến hoặc kết quả công việc của mình cho Ủy ban trong thời hạn ba tháng kể từ ngày nhận được yêu cầu</w:t>
      </w:r>
      <w:r w:rsidR="003C1BEA" w:rsidRPr="009F7625">
        <w:rPr>
          <w:i/>
          <w:iCs/>
          <w:sz w:val="28"/>
          <w:szCs w:val="28"/>
        </w:rPr>
        <w: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Trường hợp Ủy ban kết luận rằng các tiêu chí quy định tại khoản 2 Điều 23 không còn được đáp ứng, một Quy định về việc thu hồi hoặc sửa đổi việc phê duyệt sẽ được ban hành theo thủ tục quy định tại Khoản 3 Điều 79.</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8. Các chất cơ bản và các sản phẩm quy định tại </w:t>
      </w:r>
      <w:r w:rsidR="008D6166" w:rsidRPr="009F7625">
        <w:rPr>
          <w:i/>
          <w:iCs/>
          <w:sz w:val="28"/>
          <w:szCs w:val="28"/>
        </w:rPr>
        <w:t xml:space="preserve">Khoản 1 </w:t>
      </w:r>
      <w:r w:rsidRPr="009F7625">
        <w:rPr>
          <w:i/>
          <w:iCs/>
          <w:sz w:val="28"/>
          <w:szCs w:val="28"/>
        </w:rPr>
        <w:t>Điều 2</w:t>
      </w:r>
      <w:r w:rsidR="008D6166" w:rsidRPr="009F7625">
        <w:rPr>
          <w:i/>
          <w:iCs/>
          <w:sz w:val="28"/>
          <w:szCs w:val="28"/>
        </w:rPr>
        <w:t>3</w:t>
      </w:r>
      <w:r w:rsidRPr="009F7625">
        <w:rPr>
          <w:i/>
          <w:iCs/>
          <w:sz w:val="28"/>
          <w:szCs w:val="28"/>
        </w:rPr>
        <w:t xml:space="preserve"> có thể được ghi nhãn là: “Sản phẩm có chứa (một hoặc nhiều) chất cơ bản dùng cho mục đích bảo vệ thực vật.”</w:t>
      </w:r>
      <w:r w:rsidR="003C1BEA" w:rsidRPr="009F7625">
        <w:rPr>
          <w:i/>
          <w:iCs/>
          <w:sz w:val="28"/>
          <w:szCs w:val="28"/>
        </w:rPr>
        <w:t xml:space="preserve">. </w:t>
      </w:r>
      <w:r w:rsidRPr="009F7625">
        <w:rPr>
          <w:i/>
          <w:iCs/>
          <w:sz w:val="28"/>
          <w:szCs w:val="28"/>
        </w:rPr>
        <w:t>Trong trường hợp này, nhãn phải thể hiện rõ các chỉ dẫn về mục đích sử dụng được phép cho bảo vệ thực vật.</w:t>
      </w:r>
    </w:p>
    <w:p w:rsidR="003C1BEA" w:rsidRPr="009F7625" w:rsidRDefault="009E21B0"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lastRenderedPageBreak/>
        <w:t>9. Các quy định chi tiết để thực hiện Điều này có thể được ban hành theo thủ tục quy định tại Khoản 3 Điều 79</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17</w:t>
      </w:r>
      <w:r w:rsidR="00E26C7D" w:rsidRPr="009F7625">
        <w:rPr>
          <w:sz w:val="28"/>
          <w:szCs w:val="28"/>
        </w:rPr>
        <w:t>.</w:t>
      </w:r>
      <w:r w:rsidR="00D75BB4" w:rsidRPr="009F7625">
        <w:rPr>
          <w:sz w:val="28"/>
          <w:szCs w:val="28"/>
        </w:rPr>
        <w:t xml:space="preserve"> </w:t>
      </w:r>
      <w:r w:rsidR="00E26C7D" w:rsidRPr="009F7625">
        <w:rPr>
          <w:sz w:val="28"/>
          <w:szCs w:val="28"/>
        </w:rPr>
        <w:t>Bổ sung Điều 27a mới như sau</w:t>
      </w:r>
      <w:r w:rsidRPr="009F7625">
        <w:rPr>
          <w:sz w:val="28"/>
          <w:szCs w:val="28"/>
        </w:rPr>
        <w:t>:</w:t>
      </w:r>
    </w:p>
    <w:p w:rsidR="003C1BEA" w:rsidRPr="009F7625" w:rsidRDefault="00E26C7D"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27a</w:t>
      </w:r>
    </w:p>
    <w:p w:rsidR="003C1BEA" w:rsidRPr="009F7625" w:rsidRDefault="00E26C7D"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b/>
          <w:bCs/>
          <w:i/>
          <w:iCs/>
          <w:sz w:val="28"/>
          <w:szCs w:val="28"/>
        </w:rPr>
        <w:t>Thời hạn phê duyệt đối với các phê duyệt đã được cấp trước đó</w:t>
      </w:r>
    </w:p>
    <w:p w:rsidR="003C1BEA" w:rsidRPr="009F7625" w:rsidRDefault="00E26C7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1. Đối với tất cả các hoạt chất đã được phê duyệt chậm nhất vào ngày [vui lòng chèn ngày Quy định này có hiệu lực], việc phê duyệt được coi là có thời hạn không xác định, ngoại trừ các trường hợp sau</w:t>
      </w:r>
      <w:r w:rsidR="003C1BEA" w:rsidRPr="009F7625">
        <w:rPr>
          <w:i/>
          <w:iCs/>
          <w:sz w:val="28"/>
          <w:szCs w:val="28"/>
        </w:rPr>
        <w:t>:</w:t>
      </w:r>
    </w:p>
    <w:p w:rsidR="00E26C7D" w:rsidRPr="009F7625" w:rsidRDefault="00E26C7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a) Các hoạt chất được xác định là đối tượng thay thế theo quy định tại Điều 24;</w:t>
      </w:r>
    </w:p>
    <w:p w:rsidR="00E26C7D" w:rsidRPr="009F7625" w:rsidRDefault="00E26C7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Các hoạt chất được phê duyệt theo khoản 7 Điều 4;</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c</w:t>
      </w:r>
      <w:r w:rsidR="00144EBB" w:rsidRPr="009F7625">
        <w:rPr>
          <w:i/>
          <w:iCs/>
          <w:sz w:val="28"/>
          <w:szCs w:val="28"/>
        </w:rPr>
        <w:t>) Các hoạt chất mà việc nộp hồ sơ đề nghị gia hạn theo Khoản 1 Điều 15 được yêu cầu trước ngày [vui lòng chèn ngày Quy định này có hiệu lực], nhưng hồ sơ đó không được nộp trước thời hạn quy định tại Khoản 1 Điều 15</w:t>
      </w:r>
      <w:r w:rsidRPr="009F7625">
        <w:rPr>
          <w:i/>
          <w:iCs/>
          <w:sz w:val="28"/>
          <w:szCs w:val="28"/>
        </w:rPr>
        <w:t>.</w:t>
      </w:r>
    </w:p>
    <w:p w:rsidR="00144EBB" w:rsidRPr="009F7625" w:rsidRDefault="00144EBB"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d) Các hoạt chất mà thủ tục gia hạn phê duyệt vẫn đang được tiến hành vào ngày [vui lòng chèn ngày Quy định này có hiệu lực].</w:t>
      </w:r>
    </w:p>
    <w:p w:rsidR="003C1BEA" w:rsidRPr="009F7625" w:rsidRDefault="00144EBB"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2. Ủy ban sẽ sửa đổi Quy định được dẫn chiếu tại Khoản 3 Điều 78 phù hợp với quy định tại đoạn thứ nhất.”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18</w:t>
      </w:r>
      <w:r w:rsidR="00937815" w:rsidRPr="009F7625">
        <w:rPr>
          <w:sz w:val="28"/>
          <w:szCs w:val="28"/>
        </w:rPr>
        <w:t>. Khoản 2 Điều 28 được sửa đổi như sau:</w:t>
      </w:r>
    </w:p>
    <w:p w:rsidR="00937815"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a) </w:t>
      </w:r>
      <w:r w:rsidR="00937815" w:rsidRPr="009F7625">
        <w:rPr>
          <w:sz w:val="28"/>
          <w:szCs w:val="28"/>
        </w:rPr>
        <w:t>Điểm a được thay thế bằng nội dung sau:</w:t>
      </w:r>
      <w:r w:rsidRPr="009F7625">
        <w:rPr>
          <w:sz w:val="28"/>
          <w:szCs w:val="28"/>
        </w:rPr>
        <w:t>:</w:t>
      </w:r>
    </w:p>
    <w:p w:rsidR="00937815"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w:t>
      </w:r>
      <w:r w:rsidR="00937815" w:rsidRPr="009F7625">
        <w:rPr>
          <w:i/>
          <w:iCs/>
          <w:sz w:val="28"/>
          <w:szCs w:val="28"/>
        </w:rPr>
        <w:t>a) Việc đưa ra thị trường và sử dụng các chất cơ bản hoặc các sản phẩm quy định tại Khoản 1 Điều 23”</w:t>
      </w:r>
    </w:p>
    <w:p w:rsidR="00937815"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b) </w:t>
      </w:r>
      <w:r w:rsidR="00937815" w:rsidRPr="009F7625">
        <w:rPr>
          <w:sz w:val="28"/>
          <w:szCs w:val="28"/>
        </w:rPr>
        <w:t>Bổ sung điểm f như sau</w:t>
      </w:r>
      <w:r w:rsidRPr="009F7625">
        <w:rPr>
          <w:sz w:val="28"/>
          <w:szCs w:val="28"/>
        </w:rPr>
        <w:t xml:space="preserve">: </w:t>
      </w:r>
    </w:p>
    <w:p w:rsidR="003C1BEA" w:rsidRPr="009F7625" w:rsidRDefault="0093781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“f) Việc đưa ra thị trường và sử dụng hạt giống và các vật liệu nhân giống thực vật khác đã được xử lý bằng các sản phẩm bảo vệ thực vật được cấp phép cho mục đích sử dụng đó tại ít nhất một quốc gia thành viên</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19</w:t>
      </w:r>
      <w:r w:rsidR="00BD53A9" w:rsidRPr="009F7625">
        <w:rPr>
          <w:sz w:val="28"/>
          <w:szCs w:val="28"/>
        </w:rPr>
        <w:t>. Điều 30 được thay thế bằng nội dung sau</w:t>
      </w:r>
      <w:r w:rsidRPr="009F7625">
        <w:rPr>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center"/>
        <w:rPr>
          <w:rStyle w:val="Strong"/>
          <w:sz w:val="28"/>
          <w:szCs w:val="28"/>
        </w:rPr>
      </w:pPr>
      <w:r w:rsidRPr="009F7625">
        <w:rPr>
          <w:rStyle w:val="Strong"/>
          <w:sz w:val="28"/>
          <w:szCs w:val="28"/>
        </w:rPr>
        <w:t>Điều 30</w:t>
      </w:r>
    </w:p>
    <w:p w:rsidR="00BD53A9" w:rsidRPr="009F7625" w:rsidRDefault="00BD53A9" w:rsidP="00603B23">
      <w:pPr>
        <w:pStyle w:val="ds-markdown-paragraph"/>
        <w:shd w:val="clear" w:color="auto" w:fill="FFFFFF"/>
        <w:spacing w:before="0" w:beforeAutospacing="0" w:after="0" w:afterAutospacing="0" w:line="360" w:lineRule="atLeast"/>
        <w:ind w:firstLine="709"/>
        <w:jc w:val="center"/>
        <w:rPr>
          <w:b/>
          <w:bCs/>
          <w:sz w:val="28"/>
          <w:szCs w:val="28"/>
        </w:rPr>
      </w:pPr>
      <w:r w:rsidRPr="009F7625">
        <w:rPr>
          <w:b/>
          <w:bCs/>
          <w:sz w:val="28"/>
          <w:szCs w:val="28"/>
        </w:rPr>
        <w:t>Cấp phép tạm thời đối với các sản phẩm bảo vệ thực vật có chứa hoạt chất kiểm soát sinh học</w:t>
      </w:r>
    </w:p>
    <w:p w:rsidR="00BD53A9" w:rsidRPr="009F7625" w:rsidRDefault="00BD53A9"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w:t>
      </w:r>
      <w:r w:rsidR="00C87F0D" w:rsidRPr="009F7625">
        <w:rPr>
          <w:i/>
          <w:iCs/>
          <w:sz w:val="28"/>
          <w:szCs w:val="28"/>
        </w:rPr>
        <w:t>Theo cơ chế ngoại lệ so với Điểm a Khoản 1 Điều 29, các quốc gia thành viên có thể cấp phép tạm thời, trong thời hạn không vượt quá năm năm, cho việc đưa ra thị trường các sản phẩm bảo vệ thực vật có chứa một hoặc nhiều hoạt chất kiểm soát sinh học chưa được phê duyệt, với điều kiện rằng</w:t>
      </w:r>
      <w:r w:rsidRPr="009F7625">
        <w:rPr>
          <w:i/>
          <w:iCs/>
          <w:sz w:val="28"/>
          <w:szCs w:val="28"/>
        </w:rPr>
        <w:t>:</w:t>
      </w:r>
    </w:p>
    <w:p w:rsidR="00BD53A9" w:rsidRPr="009F7625" w:rsidRDefault="00C87F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a) Hồ sơ được xác nhận là hợp lệ theo quy định tại Điều 9 và quốc gia thành viên báo cáo đã hoàn thành dự thảo báo cáo đánh giá theo quy định tại Điều 11, trong đó kết luận rằng các hoạt chất kiểm soát sinh học chưa được phê duyệt có trong sản phẩm bảo vệ thực vật dự kiến đáp ứng các yêu cầu quy định tại Khoản 2 và Khoản 3 Điều 4</w:t>
      </w:r>
      <w:r w:rsidR="003C1BEA" w:rsidRPr="009F7625">
        <w:rPr>
          <w:i/>
          <w:iCs/>
          <w:sz w:val="28"/>
          <w:szCs w:val="28"/>
        </w:rPr>
        <w:t>;</w:t>
      </w:r>
    </w:p>
    <w:p w:rsidR="003C1BEA" w:rsidRPr="009F7625" w:rsidRDefault="00C87F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Quốc gia thành viên kết luận rằng tất cả các hoạt chất có trong sản phẩm bảo vệ thực vật đáp ứng các tiêu chí quy định tại Điểm 5 Phụ lục II hoặc đủ điều kiện là hoạt chất kiểm soát sinh học, và rằng các mục đích sử dụng của sản phẩm bảo vệ thực vật được cấp phép tạm thời đáp ứng các yêu cầu quy định từ Điểm b đến Điểm h Khoản 1 Điều 29;</w:t>
      </w:r>
    </w:p>
    <w:p w:rsidR="00C87F0D" w:rsidRPr="009F7625" w:rsidRDefault="00C87F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c) Khi phù hợp, các mức dư lượng tối đa đã được thiết lập theo quy định tại Quy định (EC) số 396/2005.</w:t>
      </w:r>
    </w:p>
    <w:p w:rsidR="003C1BEA" w:rsidRPr="009F7625" w:rsidRDefault="00BD53A9"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w:t>
      </w:r>
      <w:r w:rsidR="00C87F0D" w:rsidRPr="009F7625">
        <w:rPr>
          <w:i/>
          <w:iCs/>
          <w:sz w:val="28"/>
          <w:szCs w:val="28"/>
        </w:rPr>
        <w:t>2. Khi một quốc gia thành viên cấp phép tạm thời theo quy định tại Khoản 1, quốc gia thành viên đó phải ngay lập tức thông báo cho các quốc gia thành viên khác và Ủy ban về kết quả đánh giá hồ sơ của mình cũng như các điều kiện của giấy phép, đồng thời cung cấp ít nhất các thông tin được liệt kê tại Khoản 1 Điều 57</w:t>
      </w:r>
      <w:r w:rsidR="003C1BEA" w:rsidRPr="009F7625">
        <w:rPr>
          <w:i/>
          <w:iCs/>
          <w:sz w:val="28"/>
          <w:szCs w:val="28"/>
        </w:rPr>
        <w:t>.</w:t>
      </w:r>
    </w:p>
    <w:p w:rsidR="00C87F0D" w:rsidRPr="009F7625" w:rsidRDefault="00C87F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3. Điều 44 được áp dụng đối với các giấy phép tạm thời được cấp theo quy định tại Khoản 1</w:t>
      </w:r>
      <w:r w:rsidR="00FF14C1" w:rsidRPr="009F7625">
        <w:rPr>
          <w:i/>
          <w:iCs/>
          <w:sz w:val="28"/>
          <w:szCs w:val="28"/>
        </w:rPr>
        <w:t>.</w:t>
      </w:r>
    </w:p>
    <w:p w:rsidR="00FF14C1" w:rsidRPr="009F7625" w:rsidRDefault="00FF14C1"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4. Sau khi một hoạt chất có trong sản phẩm bảo vệ thực vật đã được phê duyệt (mà trước đó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 xml:space="preserve">viên đã cấp phép tạm thời theo quy định tại Điều này),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có thể chuyển đổi giấy phép tạm thời đó thành giấy phép được cấp theo quy định tại Điều 36, trừ trường hợp các điều kiện trong văn bản phê duyệt yêu cầu phải sửa đổi giấy phép tạm thời."</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20</w:t>
      </w:r>
      <w:r w:rsidR="002E770B" w:rsidRPr="009F7625">
        <w:rPr>
          <w:sz w:val="28"/>
          <w:szCs w:val="28"/>
        </w:rPr>
        <w:t>. Điều 32 được thay thế bằng nội dung sau đây</w:t>
      </w:r>
      <w:r w:rsidRPr="009F7625">
        <w:rPr>
          <w:sz w:val="28"/>
          <w:szCs w:val="28"/>
        </w:rPr>
        <w:t>:</w:t>
      </w:r>
    </w:p>
    <w:p w:rsidR="003C1BEA" w:rsidRPr="009F7625" w:rsidRDefault="0071360D"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32</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Thời hạn hiệu lực</w:t>
      </w:r>
    </w:p>
    <w:p w:rsidR="003C1BEA" w:rsidRPr="009F7625" w:rsidRDefault="007136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1. Thời hạn của giấy phép phải được quy định trong quyết định cấp phép.</w:t>
      </w:r>
      <w:r w:rsidRPr="009F7625">
        <w:rPr>
          <w:i/>
          <w:iCs/>
          <w:sz w:val="28"/>
          <w:szCs w:val="28"/>
        </w:rPr>
        <w:br/>
        <w:t>Không ảnh hưởng đến Điều 44, thời hạn của giấy phép được ấn định trong một khoảng thời gian</w:t>
      </w:r>
      <w:r w:rsidR="003C1BEA" w:rsidRPr="009F7625">
        <w:rPr>
          <w:i/>
          <w:iCs/>
          <w:sz w:val="28"/>
          <w:szCs w:val="28"/>
        </w:rPr>
        <w:t>:</w:t>
      </w:r>
    </w:p>
    <w:p w:rsidR="0071360D"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(a) </w:t>
      </w:r>
      <w:r w:rsidR="0071360D" w:rsidRPr="009F7625">
        <w:rPr>
          <w:i/>
          <w:iCs/>
          <w:sz w:val="28"/>
          <w:szCs w:val="28"/>
        </w:rPr>
        <w:t>Không vượt quá 15 năm nếu sản phẩm bảo vệ thực vật liên quan chỉ chứa các hoạt chất, chất bảo vệ và chất hiệp lực có thời hạn phê duyệt không xác định;</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71360D" w:rsidRPr="009F7625">
        <w:rPr>
          <w:i/>
          <w:iCs/>
          <w:sz w:val="28"/>
          <w:szCs w:val="28"/>
        </w:rPr>
        <w:t>Không vượt quá 01 năm kể từ ngày sớm nhất hết hạn phê duyệt của các hoạt chất, chất bảo vệ và chất hiệp lực có trong sản phẩm bảo vệ thực vật liên quan</w:t>
      </w:r>
      <w:r w:rsidRPr="009F7625">
        <w:rPr>
          <w:i/>
          <w:iCs/>
          <w:sz w:val="28"/>
          <w:szCs w:val="28"/>
        </w:rPr>
        <w:t>.</w:t>
      </w:r>
    </w:p>
    <w:p w:rsidR="0071360D" w:rsidRPr="009F7625" w:rsidRDefault="007136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Thời hạn này phải bảo đảm cho việc tiến hành thẩm định theo quy định tại Điều 43.</w:t>
      </w:r>
    </w:p>
    <w:p w:rsidR="003C1BEA" w:rsidRPr="009F7625" w:rsidRDefault="0071360D"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2. Giấy phép có thể được cấp với thời hạn ngắn hơn nhằm đồng bộ hóa việc đánh giá lại các sản phẩm tương tự cho mục đích đánh giá so sánh đối với các sản phẩm có chứa các hoạt chất là đối tượng thay thế theo quy định tại Điều 50</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21</w:t>
      </w:r>
      <w:r w:rsidR="00CF49C1" w:rsidRPr="009F7625">
        <w:rPr>
          <w:sz w:val="28"/>
          <w:szCs w:val="28"/>
        </w:rPr>
        <w:t xml:space="preserve">. </w:t>
      </w:r>
      <w:r w:rsidR="009E03A9" w:rsidRPr="009F7625">
        <w:rPr>
          <w:sz w:val="28"/>
          <w:szCs w:val="28"/>
        </w:rPr>
        <w:t>Điểm b, Khoản 2, Điều 33 được thay thế bằng nội dung sau</w:t>
      </w:r>
      <w:r w:rsidRPr="009F7625">
        <w:rPr>
          <w:sz w:val="28"/>
          <w:szCs w:val="28"/>
        </w:rPr>
        <w:t>:</w:t>
      </w:r>
    </w:p>
    <w:p w:rsidR="003C1BEA" w:rsidRPr="009F7625" w:rsidRDefault="009E03A9"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Đề xuất về quốc gia thành viên mà người nộp hồ sơ dự kiến sẽ thực hiện việc đánh giá hồ sơ trong vùng liên quan. Trong trường hợp hồ sơ đề nghị liên quan đến việc sử dụng trong nhà kính, xử lý sau thu hoạch, xử lý các kho lưu trữ trống và xử lý hạt giống; đối với các mục đích sử dụng chỉ nhằm ngăn chặn sự xâm nhập vào và sự lây lan trong Liên minh của các sinh vật gây hại được liệt kê theo Khoản 2 Điều 5, Khoản 1 Điều 30, Khoản 3 Điều 32 và Khoản 2 Điều 37 của Quy định (EU) 2016/2031; và đối với các sản phẩm bảo vệ thực vật chỉ chứa các hoạt chất là hoạt chất kiểm soát sinh học hoặc hoạt chất có nguy cơ thấp, thì chỉ được đề xuất một quốc gia thành viên thực hiện đánh giá hồ sơ, đồng thời xem xét toàn bộ các vùng. Trong trường hợp này, theo yêu cầu, người nộp hồ sơ phải gửi bản tóm tắt hoặc hồ sơ đầy đủ theo quy định tại Điều 8 cho các quốc gia thành viên khác</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22</w:t>
      </w:r>
      <w:r w:rsidR="00EB1BF4" w:rsidRPr="009F7625">
        <w:rPr>
          <w:sz w:val="28"/>
          <w:szCs w:val="28"/>
        </w:rPr>
        <w:t xml:space="preserve">. </w:t>
      </w:r>
      <w:r w:rsidR="009E74F5" w:rsidRPr="009F7625">
        <w:rPr>
          <w:sz w:val="28"/>
          <w:szCs w:val="28"/>
        </w:rPr>
        <w:t>Đoạn thứ nhất, Khoản 1 Điều 36 được thay thế bằng nội dung sau</w:t>
      </w:r>
      <w:r w:rsidRPr="009F7625">
        <w:rPr>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w:t>
      </w:r>
      <w:r w:rsidR="009E74F5" w:rsidRPr="009F7625">
        <w:rPr>
          <w:i/>
          <w:iCs/>
          <w:sz w:val="28"/>
          <w:szCs w:val="28"/>
        </w:rPr>
        <w:t>Quốc gia thành viên xem xét hồ sơ đề nghị phải thực hiện việc đánh giá một cách độc lập, khách quan và minh bạch trên cơ sở các tri thức khoa học và kỹ thuật hiện hành, sử dụng các tài liệu hướng dẫn có sẵn tại thời điểm nộp hồ sơ. Quốc gia thành viên đó phải tạo điều kiện để tất cả các quốc gia thành viên khác trong cùng khu vực có cơ hội gửi ý kiến để được xem xét trong quá trình đánh giá</w:t>
      </w:r>
      <w:r w:rsidRPr="009F7625">
        <w:rPr>
          <w:i/>
          <w:iCs/>
          <w:sz w:val="28"/>
          <w:szCs w:val="28"/>
        </w:rPr>
        <w:t>.</w:t>
      </w:r>
    </w:p>
    <w:p w:rsidR="003C1BEA" w:rsidRPr="009F7625" w:rsidRDefault="009E74F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Đối với các hoạt chất, chất bảo vệ và chất hiệp lực có trong sản phẩm bảo vệ thực vật, các quốc gia thành viên phải dựa trên kết quả đánh giá gần nhất được thực hiện ở cấp độ Liên minh, trừ khi quốc gia thành viên đó cho rằng cần phải cập nhật kết quả đánh giá dựa trên các tri thức khoa học và kỹ thuật hiện hành. Trong trường hợp đó, quốc gia thành viên sẽ đề nghị Ủy ban thực hiện hành động theo các Điều 18, 18a hoặc 21</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23</w:t>
      </w:r>
      <w:r w:rsidR="005B6487" w:rsidRPr="009F7625">
        <w:rPr>
          <w:sz w:val="28"/>
          <w:szCs w:val="28"/>
        </w:rPr>
        <w:t>.</w:t>
      </w:r>
      <w:r w:rsidR="00D75BB4" w:rsidRPr="009F7625">
        <w:rPr>
          <w:sz w:val="28"/>
          <w:szCs w:val="28"/>
        </w:rPr>
        <w:t xml:space="preserve"> </w:t>
      </w:r>
      <w:r w:rsidR="005B6487" w:rsidRPr="009F7625">
        <w:rPr>
          <w:sz w:val="28"/>
          <w:szCs w:val="28"/>
        </w:rPr>
        <w:t>Bổ sung mới các Khoản 5, 6 và 7 vào Điều 37 như 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"5. </w:t>
      </w:r>
      <w:r w:rsidR="005B6487" w:rsidRPr="009F7625">
        <w:rPr>
          <w:i/>
          <w:iCs/>
          <w:sz w:val="28"/>
          <w:szCs w:val="28"/>
        </w:rPr>
        <w:t>Trường hợp hồ sơ đề nghị liên quan đến một sản phẩm bảo vệ thực vật chỉ chứa các hoạt chất là hoạt chất kiểm soát sinh học hoặc hoạt chất có nguy cơ thấp, và các quốc gia thành viên liên quan không đưa ra quyết định trong thời hạn 120 ngày, thì giấy phép được coi là đã được các quốc gia thành viên đó cấp</w:t>
      </w:r>
      <w:r w:rsidRPr="009F7625">
        <w:rPr>
          <w:i/>
          <w:iCs/>
          <w:sz w:val="28"/>
          <w:szCs w:val="28"/>
        </w:rPr>
        <w:t>.</w:t>
      </w:r>
    </w:p>
    <w:p w:rsidR="003C1BEA" w:rsidRPr="009F7625" w:rsidRDefault="005B6487"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6. Quốc gia thành viên xem xét hồ sơ đề nghị phải ưu tiên xử lý các hồ sơ đề nghị đối với các sản phẩm bảo vệ thực vật chỉ chứa các hoạt chất là hoạt chất kiểm soát sinh học</w:t>
      </w:r>
      <w:r w:rsidR="003C1BEA" w:rsidRPr="009F7625">
        <w:rPr>
          <w:i/>
          <w:iCs/>
          <w:sz w:val="28"/>
          <w:szCs w:val="28"/>
        </w:rPr>
        <w:t>.</w:t>
      </w:r>
    </w:p>
    <w:p w:rsidR="003C1BEA" w:rsidRPr="009F7625" w:rsidRDefault="005B6487"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7. Quốc gia thành viên xem xét hồ sơ đề nghị đối với các mục đích sử dụng của sản phẩm bảo vệ thực vật chỉ và rõ ràng nhằm ngăn chặn sự xâm nhập vào và sự lây lan trong Liên minh của các sinh vật gây hại được liệt kê theo Khoản 2 Điều 5, Khoản 1 Điều 30, Khoản 3 Điều 32 và Khoản 2 Điều 37 của Quy định (EU) 2016/2031 phải nỗ lực đưa ra quyết định sớm nhất có thể và trong mọi trường hợp không quá 06 tháng</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24</w:t>
      </w:r>
      <w:r w:rsidR="00146E66" w:rsidRPr="009F7625">
        <w:rPr>
          <w:sz w:val="28"/>
          <w:szCs w:val="28"/>
        </w:rPr>
        <w:t xml:space="preserve">. </w:t>
      </w:r>
      <w:r w:rsidRPr="009F7625">
        <w:rPr>
          <w:sz w:val="28"/>
          <w:szCs w:val="28"/>
        </w:rPr>
        <w:t xml:space="preserve">Điều 40 được thay thế bằng </w:t>
      </w:r>
      <w:r w:rsidR="00146E66" w:rsidRPr="009F7625">
        <w:rPr>
          <w:sz w:val="28"/>
          <w:szCs w:val="28"/>
        </w:rPr>
        <w:t xml:space="preserve">nội dung </w:t>
      </w:r>
      <w:r w:rsidRPr="009F7625">
        <w:rPr>
          <w:sz w:val="28"/>
          <w:szCs w:val="28"/>
        </w:rPr>
        <w:t>sau:</w:t>
      </w:r>
    </w:p>
    <w:p w:rsidR="003C1BEA" w:rsidRPr="009F7625" w:rsidRDefault="00146E66" w:rsidP="00603B23">
      <w:pPr>
        <w:pStyle w:val="ds-markdown-paragraph"/>
        <w:shd w:val="clear" w:color="auto" w:fill="FFFFFF"/>
        <w:spacing w:before="0" w:beforeAutospacing="0" w:after="0" w:afterAutospacing="0" w:line="360" w:lineRule="atLeast"/>
        <w:ind w:firstLine="709"/>
        <w:jc w:val="center"/>
        <w:rPr>
          <w:rStyle w:val="Strong"/>
          <w:i/>
          <w:iCs/>
          <w:sz w:val="28"/>
          <w:szCs w:val="28"/>
        </w:rPr>
      </w:pPr>
      <w:r w:rsidRPr="009F7625">
        <w:rPr>
          <w:rStyle w:val="Strong"/>
          <w:i/>
          <w:iCs/>
          <w:sz w:val="28"/>
          <w:szCs w:val="28"/>
        </w:rPr>
        <w:t>“</w:t>
      </w:r>
      <w:r w:rsidR="003C1BEA" w:rsidRPr="009F7625">
        <w:rPr>
          <w:rStyle w:val="Strong"/>
          <w:i/>
          <w:iCs/>
          <w:sz w:val="28"/>
          <w:szCs w:val="28"/>
        </w:rPr>
        <w:t>Điều 40</w:t>
      </w:r>
    </w:p>
    <w:p w:rsidR="00146E66" w:rsidRPr="009F7625" w:rsidRDefault="00146E66" w:rsidP="00603B23">
      <w:pPr>
        <w:pStyle w:val="ds-markdown-paragraph"/>
        <w:shd w:val="clear" w:color="auto" w:fill="FFFFFF"/>
        <w:spacing w:before="0" w:beforeAutospacing="0" w:after="0" w:afterAutospacing="0" w:line="360" w:lineRule="atLeast"/>
        <w:ind w:firstLine="709"/>
        <w:jc w:val="center"/>
        <w:rPr>
          <w:b/>
          <w:bCs/>
          <w:i/>
          <w:iCs/>
          <w:sz w:val="28"/>
          <w:szCs w:val="28"/>
        </w:rPr>
      </w:pPr>
      <w:r w:rsidRPr="009F7625">
        <w:rPr>
          <w:b/>
          <w:bCs/>
          <w:i/>
          <w:iCs/>
          <w:sz w:val="28"/>
          <w:szCs w:val="28"/>
        </w:rPr>
        <w:t>Công nhận lẫn nhau</w:t>
      </w:r>
    </w:p>
    <w:p w:rsidR="003C1BEA" w:rsidRPr="009F7625" w:rsidRDefault="00146E66"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w:t>
      </w:r>
      <w:r w:rsidR="0049597B" w:rsidRPr="009F7625">
        <w:rPr>
          <w:i/>
          <w:iCs/>
          <w:sz w:val="28"/>
          <w:szCs w:val="28"/>
        </w:rPr>
        <w:t>Chủ sở hữu giấy phép được cấp theo quy định tại Điều 29 có thể nộp hồ sơ đề nghị cấp phép đối với cùng một sản phẩm bảo vệ thực vật, cùng mục đích sử dụng và trong các điều kiện canh tác nông nghiệp tương đương tại một quốc gia thành viên khác theo thủ tục công nhận lẫn nhau quy định tại tiểu mục này, trong các trường hợp sau:</w:t>
      </w:r>
    </w:p>
    <w:p w:rsidR="0049597B"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a) </w:t>
      </w:r>
      <w:r w:rsidR="0049597B" w:rsidRPr="009F7625">
        <w:rPr>
          <w:i/>
          <w:iCs/>
          <w:sz w:val="28"/>
          <w:szCs w:val="28"/>
        </w:rPr>
        <w:t>Giấy phép đã được cấp bởi một quốc gia thành viên (quốc gia thành viên tham chiếu) thuộc cùng khu vực và sản phẩm bảo vệ thực vật đã được cấp phép được đưa ra thị trường tại quốc gia thành viên tham chiếu</w:t>
      </w:r>
      <w:r w:rsidRPr="009F7625">
        <w:rPr>
          <w:i/>
          <w:iCs/>
          <w:sz w:val="28"/>
          <w:szCs w:val="28"/>
        </w:rPr>
        <w:t>;</w:t>
      </w:r>
    </w:p>
    <w:p w:rsidR="0049597B" w:rsidRPr="009F7625" w:rsidRDefault="0049597B"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b) Giấy phép đã được cấp bởi một quốc gia thành viên (quốc gia thành viên tham chiếu) thuộc một khu vực khác, với điều kiện giấy phép mà hồ sơ đề nghị đang được nộp không được sử dụng cho mục đích công nhận lẫn nhau tại một quốc gia thành viên khác trong cùng khu vực và sản phẩm bảo vệ thực vật đã được cấp phép được đưa ra thị trường tại quốc gia thành viên tham chiếu</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c) </w:t>
      </w:r>
      <w:r w:rsidR="0049597B" w:rsidRPr="009F7625">
        <w:rPr>
          <w:i/>
          <w:iCs/>
          <w:sz w:val="28"/>
          <w:szCs w:val="28"/>
        </w:rPr>
        <w:t>Giấy phép đã được cấp bởi một quốc gia thành viên đối với việc sử dụng trong nhà kính, xử lý sau thu hoạch, xử lý các phòng hoặc container trống dùng để lưu trữ thực vật hoặc sản phẩm thực vật, xử lý hạt giống, đối với các mục đích sử dụng chỉ và rõ ràng nhằm thực hiện các quy định của Quy định (EU) 2016/2031, hoặc đối với các sản phẩm bảo vệ thực vật chỉ chứa các hoạt chất là hoạt chất kiểm soát sinh học, bất kể quốc gia thành viên tham chiếu thuộc khu vực nào, và sản phẩm bảo vệ thực vật đã được cấp phép được đưa ra thị trường tại quốc gia thành viên tham chiếu</w:t>
      </w:r>
      <w:r w:rsidRPr="009F7625">
        <w:rPr>
          <w:i/>
          <w:iCs/>
          <w:sz w:val="28"/>
          <w:szCs w:val="28"/>
        </w:rPr>
        <w:t>.</w:t>
      </w:r>
    </w:p>
    <w:p w:rsidR="003C1BEA" w:rsidRPr="009F7625" w:rsidRDefault="0049597B"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 xml:space="preserve">2. Trường hợp một sản phẩm bảo vệ thực vật chưa được cấp phép tại một quốc gia thành viên do chưa có hồ sơ đề nghị cấp phép được nộp tại quốc gia đó, các cơ quan nhà nước hoặc cơ quan khoa học hoạt động trong lĩnh vực nông nghiệp, hoặc các tổ chức nông nghiệp chuyên nghiệp, có thể nộp hồ sơ đề nghị </w:t>
      </w:r>
      <w:r w:rsidRPr="009F7625">
        <w:rPr>
          <w:i/>
          <w:iCs/>
          <w:sz w:val="28"/>
          <w:szCs w:val="28"/>
        </w:rPr>
        <w:lastRenderedPageBreak/>
        <w:t>cấp phép đối với sản phẩm bảo vệ thực vật đó cho cùng mục đích sử dụng và trong cùng điều kiện canh tác nông nghiệp tại quốc gia thành viên đó theo thủ tục công nhận lẫn nhau quy định tại Khoản 1</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25</w:t>
      </w:r>
      <w:r w:rsidR="00822FBF" w:rsidRPr="009F7625">
        <w:rPr>
          <w:sz w:val="28"/>
          <w:szCs w:val="28"/>
        </w:rPr>
        <w:t xml:space="preserve">. </w:t>
      </w:r>
      <w:r w:rsidRPr="009F7625">
        <w:rPr>
          <w:sz w:val="28"/>
          <w:szCs w:val="28"/>
        </w:rPr>
        <w:t xml:space="preserve">Điều 42 được thay thế bằng </w:t>
      </w:r>
      <w:r w:rsidR="00822FBF" w:rsidRPr="009F7625">
        <w:rPr>
          <w:sz w:val="28"/>
          <w:szCs w:val="28"/>
        </w:rPr>
        <w:t xml:space="preserve">nội dung </w:t>
      </w:r>
      <w:r w:rsidRPr="009F7625">
        <w:rPr>
          <w:sz w:val="28"/>
          <w:szCs w:val="28"/>
        </w:rPr>
        <w:t>sau:</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sz w:val="28"/>
          <w:szCs w:val="28"/>
        </w:rPr>
      </w:pPr>
      <w:r w:rsidRPr="009F7625">
        <w:rPr>
          <w:rStyle w:val="Strong"/>
          <w:sz w:val="28"/>
          <w:szCs w:val="28"/>
        </w:rPr>
        <w:t>Điều 42</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sz w:val="28"/>
          <w:szCs w:val="28"/>
        </w:rPr>
      </w:pPr>
      <w:r w:rsidRPr="009F7625">
        <w:rPr>
          <w:rStyle w:val="Strong"/>
          <w:sz w:val="28"/>
          <w:szCs w:val="28"/>
        </w:rPr>
        <w:t>Thủ tục</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 Hồ sơ đề nghị phải kèm theo các tài liệu sau:</w:t>
      </w:r>
    </w:p>
    <w:p w:rsidR="00822FBF"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a) Bản sao giấy phép đã được cấp bởi quốc gia thành viên tham chiếu, kèm theo bản dịch giấy phép đó sang một ngôn ngữ chính thức của quốc gia thành viên tiếp nhận hồ sơ đề nghị</w:t>
      </w:r>
      <w:r w:rsidR="003C1BEA" w:rsidRPr="009F7625">
        <w:rPr>
          <w:sz w:val="28"/>
          <w:szCs w:val="28"/>
        </w:rPr>
        <w:t>;</w:t>
      </w:r>
    </w:p>
    <w:p w:rsidR="00822FBF"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b) Tuyên bố chính thức xác nhận rằng sản phẩm bảo vệ thực vật đó giống hệt với sản phẩm đã được quốc gia thành viên tham chiếu cấp phép</w:t>
      </w:r>
      <w:r w:rsidR="003C1BEA" w:rsidRPr="009F7625">
        <w:rPr>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c) </w:t>
      </w:r>
      <w:r w:rsidR="00822FBF" w:rsidRPr="009F7625">
        <w:rPr>
          <w:sz w:val="28"/>
          <w:szCs w:val="28"/>
        </w:rPr>
        <w:t>Hồ sơ đầy đủ hoặc hồ sơ tóm tắt theo quy định tại Khoản 3 Điều 33, khi được quốc gia thành viên yêu cầu</w:t>
      </w:r>
      <w:r w:rsidRPr="009F7625">
        <w:rPr>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d) </w:t>
      </w:r>
      <w:r w:rsidR="00822FBF" w:rsidRPr="009F7625">
        <w:rPr>
          <w:sz w:val="28"/>
          <w:szCs w:val="28"/>
        </w:rPr>
        <w:t>Báo cáo đánh giá của quốc gia thành viên tham chiếu, trong đó bao gồm thông tin về quá trình đánh giá và quyết định đối với sản phẩm bảo vệ thực vật.</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Các Điểm c và d không áp dụng đối với các hồ sơ đề nghị được nộp theo quy định tại Khoản 2 Điều 40 và Khoản 7 Điều 51.</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 Quốc gia thành viên tiếp nhận hồ sơ đề nghị theo Điều 40 phải đưa ra quyết định đối với hồ sơ đó trong thời hạn 120 ngày</w:t>
      </w:r>
      <w:r w:rsidR="003C1BEA" w:rsidRPr="009F7625">
        <w:rPr>
          <w:sz w:val="28"/>
          <w:szCs w:val="28"/>
        </w:rPr>
        <w:t>.</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3. Trường hợp hồ sơ đề nghị liên quan đến một sản phẩm bảo vệ thực vật chỉ chứa các hoạt chất là hoạt chất kiểm soát sinh học hoặc hoạt chất có nguy cơ thấp, và quốc gia thành viên chưa đưa ra quyết định sau thời hạn 120 ngày, thì giấy phép được coi là đã được quốc gia thành viên đó cấp</w:t>
      </w:r>
      <w:r w:rsidR="003C1BEA" w:rsidRPr="009F7625">
        <w:rPr>
          <w:sz w:val="28"/>
          <w:szCs w:val="28"/>
        </w:rPr>
        <w:t>.</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4. Trường hợp quốc gia thành viên có yêu cầu, người nộp đơn phải nộp hồ sơ bằng ngôn ngữ quốc gia hoặc một trong các ngôn ngữ chính thức của quốc gia thành viên đó.</w:t>
      </w:r>
    </w:p>
    <w:p w:rsidR="003C1BEA" w:rsidRPr="009F7625" w:rsidRDefault="00822FB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5. Các quy định chi tiết để thực hiện Điều này có thể được ban hành theo thủ tục quy định tại Khoản 3 Điều 79.</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26</w:t>
      </w:r>
      <w:r w:rsidR="00822FBF" w:rsidRPr="009F7625">
        <w:rPr>
          <w:sz w:val="28"/>
          <w:szCs w:val="28"/>
        </w:rPr>
        <w:t>.</w:t>
      </w:r>
      <w:r w:rsidRPr="009F7625">
        <w:rPr>
          <w:sz w:val="28"/>
          <w:szCs w:val="28"/>
        </w:rPr>
        <w:t xml:space="preserve"> Điều 43 được sửa đổi như 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a</w:t>
      </w:r>
      <w:r w:rsidR="00822FBF" w:rsidRPr="009F7625">
        <w:rPr>
          <w:sz w:val="28"/>
          <w:szCs w:val="28"/>
        </w:rPr>
        <w:t>) Khoản</w:t>
      </w:r>
      <w:r w:rsidRPr="009F7625">
        <w:rPr>
          <w:sz w:val="28"/>
          <w:szCs w:val="28"/>
        </w:rPr>
        <w:t xml:space="preserve"> 2 được thay thế bằng </w:t>
      </w:r>
      <w:r w:rsidR="00822FBF" w:rsidRPr="009F7625">
        <w:rPr>
          <w:sz w:val="28"/>
          <w:szCs w:val="28"/>
        </w:rPr>
        <w:t xml:space="preserve">nội dung </w:t>
      </w:r>
      <w:r w:rsidRPr="009F7625">
        <w:rPr>
          <w:sz w:val="28"/>
          <w:szCs w:val="28"/>
        </w:rPr>
        <w:t>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w:t>
      </w:r>
      <w:r w:rsidR="00822FBF" w:rsidRPr="009F7625">
        <w:rPr>
          <w:i/>
          <w:iCs/>
          <w:sz w:val="28"/>
          <w:szCs w:val="28"/>
        </w:rPr>
        <w:t>Hồ sơ đề nghị gia hạn phải được nộp như sau:</w:t>
      </w:r>
    </w:p>
    <w:p w:rsidR="00822FBF"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 xml:space="preserve">a) </w:t>
      </w:r>
      <w:r w:rsidR="00822FBF" w:rsidRPr="009F7625">
        <w:rPr>
          <w:i/>
          <w:iCs/>
          <w:sz w:val="28"/>
          <w:szCs w:val="28"/>
        </w:rPr>
        <w:t>Chậm nhất là chín tháng trước khi giấy phép hết hạn, nếu sản phẩm bảo vệ thực vật liên quan chỉ chứa các hoạt chất, chất bảo vệ và chất hiệp lực có thời hạn phê duyệt không xác định;</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822FBF" w:rsidRPr="009F7625">
        <w:rPr>
          <w:i/>
          <w:iCs/>
          <w:sz w:val="28"/>
          <w:szCs w:val="28"/>
        </w:rPr>
        <w:t>Trong thời hạn ba tháng kể từ ngày gia hạn phê duyệt của hoạt chất, chất bảo vệ hoặc chất hiệp lực có trong sản phẩm bảo vệ thực vật.</w:t>
      </w:r>
      <w:r w:rsidRPr="009F7625">
        <w:rPr>
          <w:i/>
          <w:iCs/>
          <w:sz w:val="28"/>
          <w:szCs w:val="28"/>
        </w:rPr>
        <w:t>.</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Người nộp hồ sơ phải cung cấp các thông tin sau:</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Bản sao giấy phép của sản phẩm bảo vệ thực vật;</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Mọi thông tin mới được yêu cầu do có sửa đổi về yêu cầu dữ liệu hoặc các tiêu chí đánh giá;</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Bằng chứng cho thấy các dữ liệu mới được nộp là kết quả của các yêu cầu về dữ liệu hoặc các tiêu chí chưa có hiệu lực tại thời điểm giấy phép của sản phẩm bảo vệ thực vật được cấp, hoặc là cần thiết để sửa đổi các điều kiện phê duyệt;</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Mọi thông tin cần thiết để chứng minh rằng sản phẩm bảo vệ thực vật đáp ứng các yêu cầu quy định trong Quy định về việc gia hạn phê duyệt đối với hoạt chất, chất bảo vệ hoặc chất hiệp lực có trong sản phẩm đó;</w:t>
      </w:r>
    </w:p>
    <w:p w:rsidR="00D52E2F"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Báo cáo về các thông tin giám sát, trong trường hợp giấy phép được cấp kèm theo yêu cầu giám sát”</w:t>
      </w:r>
    </w:p>
    <w:p w:rsidR="003C1BEA" w:rsidRPr="009F7625" w:rsidRDefault="00D52E2F"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b) Khoản 5, </w:t>
      </w:r>
      <w:r w:rsidR="003C1BEA" w:rsidRPr="009F7625">
        <w:rPr>
          <w:sz w:val="28"/>
          <w:szCs w:val="28"/>
        </w:rPr>
        <w:t xml:space="preserve">Điều 43 được thay thế bằng </w:t>
      </w:r>
      <w:r w:rsidRPr="009F7625">
        <w:rPr>
          <w:sz w:val="28"/>
          <w:szCs w:val="28"/>
        </w:rPr>
        <w:t xml:space="preserve">nội dung </w:t>
      </w:r>
      <w:r w:rsidR="003C1BEA" w:rsidRPr="009F7625">
        <w:rPr>
          <w:sz w:val="28"/>
          <w:szCs w:val="28"/>
        </w:rPr>
        <w:t>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"5. </w:t>
      </w:r>
      <w:r w:rsidR="00D52E2F" w:rsidRPr="009F7625">
        <w:rPr>
          <w:i/>
          <w:iCs/>
          <w:sz w:val="28"/>
          <w:szCs w:val="28"/>
        </w:rPr>
        <w:t>Các quốc gia thành viên phải đưa ra quyết định về việc gia hạn giấy phép đối với sản phẩm bảo vệ thực vật chậm nhất là 12 tháng kể từ ngày nộp hồ sơ đề nghị.</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27</w:t>
      </w:r>
      <w:r w:rsidR="00D52E2F" w:rsidRPr="009F7625">
        <w:rPr>
          <w:sz w:val="28"/>
          <w:szCs w:val="28"/>
        </w:rPr>
        <w:t xml:space="preserve">. Bổ sung mới Khoản 1a, </w:t>
      </w:r>
      <w:r w:rsidRPr="009F7625">
        <w:rPr>
          <w:sz w:val="28"/>
          <w:szCs w:val="28"/>
        </w:rPr>
        <w:t>Điều 44</w:t>
      </w:r>
      <w:r w:rsidR="00D52E2F" w:rsidRPr="009F7625">
        <w:rPr>
          <w:sz w:val="28"/>
          <w:szCs w:val="28"/>
        </w:rPr>
        <w:t xml:space="preserve"> như sau</w:t>
      </w:r>
      <w:r w:rsidRPr="009F7625">
        <w:rPr>
          <w:sz w:val="28"/>
          <w:szCs w:val="28"/>
        </w:rPr>
        <w:t>:</w:t>
      </w:r>
    </w:p>
    <w:p w:rsidR="003C1BEA" w:rsidRPr="009F7625" w:rsidRDefault="00D52E2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“1a. Các quốc gia thành viên phải kiểm tra việc tuân thủ của tất cả các sản phẩm bảo vệ thực vật có chứa hoạt chất, chất bảo vệ hoặc chất hiệp lực liên quan </w:t>
      </w:r>
      <w:r w:rsidR="003D28CF" w:rsidRPr="009F7625">
        <w:rPr>
          <w:i/>
          <w:iCs/>
          <w:sz w:val="28"/>
          <w:szCs w:val="28"/>
        </w:rPr>
        <w:t>đối với bất kỳ điều kiện và hạn chế nào được quy định trong Quy định xác nhận việc phê duyệt theo Điều 18a.</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28</w:t>
      </w:r>
      <w:r w:rsidR="003D28CF" w:rsidRPr="009F7625">
        <w:rPr>
          <w:sz w:val="28"/>
          <w:szCs w:val="28"/>
        </w:rPr>
        <w:t xml:space="preserve">. </w:t>
      </w:r>
      <w:r w:rsidRPr="009F7625">
        <w:rPr>
          <w:sz w:val="28"/>
          <w:szCs w:val="28"/>
        </w:rPr>
        <w:t xml:space="preserve">Điều 46 được thay thế bằng </w:t>
      </w:r>
      <w:r w:rsidR="003D28CF" w:rsidRPr="009F7625">
        <w:rPr>
          <w:sz w:val="28"/>
          <w:szCs w:val="28"/>
        </w:rPr>
        <w:t xml:space="preserve">nội dung </w:t>
      </w:r>
      <w:r w:rsidRPr="009F7625">
        <w:rPr>
          <w:sz w:val="28"/>
          <w:szCs w:val="28"/>
        </w:rPr>
        <w:t>sau:</w:t>
      </w:r>
    </w:p>
    <w:p w:rsidR="003C1BEA" w:rsidRPr="009F7625" w:rsidRDefault="003D28CF"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46</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Thời gian ân hạn</w:t>
      </w:r>
    </w:p>
    <w:p w:rsidR="003C1BEA" w:rsidRPr="009F7625" w:rsidRDefault="003D28C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1. Trường hợp một quốc gia thành viên thu hồi, sửa đổi hoặc không gia hạn giấy phép do Quy định được ban hành theo Khoản 1 Điều 20 hoặc do Quy định được ban hành theo Khoản 3 Điều 21, các quốc gia thành viên phải ấn định một thời hạn ân hạn trong phạm vi giới hạn tối đa do Ủy ban quy định trên cơ sở Khoản 2 Điều 20, trừ khi Ủy ban đã cấm việc ấn định thời hạn ân hạn đó theo Khoản 2 Điều 20.</w:t>
      </w:r>
      <w:r w:rsidR="003C1BEA" w:rsidRPr="009F7625">
        <w:rPr>
          <w:i/>
          <w:iCs/>
          <w:sz w:val="28"/>
          <w:szCs w:val="28"/>
        </w:rPr>
        <w:t>.</w:t>
      </w:r>
    </w:p>
    <w:p w:rsidR="003C1BEA" w:rsidRPr="009F7625" w:rsidRDefault="003D28CF"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2. 2. Trường hợp một quốc gia thành viên thu hồi, sửa đổi hoặc không gia hạn giấy phép vì các lý do khác với các lý do quy định tại Khoản 1, quốc gia thành viên đó có thể ấn định một thời hạn ân hạn, trong đó thời hạn này không vượt quá 06 tháng đối với việc bán và phân phối, và thêm tối đa 01 năm đối với việc xử lý, lưu trữ và sử dụng lượng tồn kho của các sản phẩm bảo vệ thực vật liên quan.</w:t>
      </w:r>
      <w:r w:rsidR="003C1BEA"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29</w:t>
      </w:r>
      <w:r w:rsidR="00594E65" w:rsidRPr="009F7625">
        <w:rPr>
          <w:sz w:val="28"/>
          <w:szCs w:val="28"/>
        </w:rPr>
        <w:t xml:space="preserve">. </w:t>
      </w:r>
      <w:r w:rsidRPr="009F7625">
        <w:rPr>
          <w:sz w:val="28"/>
          <w:szCs w:val="28"/>
        </w:rPr>
        <w:t xml:space="preserve">Điều 49 được thay thế bằng </w:t>
      </w:r>
      <w:r w:rsidR="00594E65" w:rsidRPr="009F7625">
        <w:rPr>
          <w:sz w:val="28"/>
          <w:szCs w:val="28"/>
        </w:rPr>
        <w:t xml:space="preserve">nội dung </w:t>
      </w:r>
      <w:r w:rsidRPr="009F7625">
        <w:rPr>
          <w:sz w:val="28"/>
          <w:szCs w:val="28"/>
        </w:rPr>
        <w:t>sau:</w:t>
      </w:r>
    </w:p>
    <w:p w:rsidR="003C1BEA" w:rsidRPr="009F7625" w:rsidRDefault="00594E65"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49</w:t>
      </w:r>
    </w:p>
    <w:p w:rsidR="00594E65" w:rsidRPr="009F7625" w:rsidRDefault="00594E65" w:rsidP="00603B23">
      <w:pPr>
        <w:pStyle w:val="ds-markdown-paragraph"/>
        <w:shd w:val="clear" w:color="auto" w:fill="FFFFFF"/>
        <w:spacing w:before="0" w:beforeAutospacing="0" w:after="0" w:afterAutospacing="0" w:line="360" w:lineRule="atLeast"/>
        <w:ind w:firstLine="709"/>
        <w:jc w:val="center"/>
        <w:rPr>
          <w:b/>
          <w:bCs/>
          <w:i/>
          <w:iCs/>
          <w:sz w:val="28"/>
          <w:szCs w:val="28"/>
        </w:rPr>
      </w:pPr>
      <w:r w:rsidRPr="009F7625">
        <w:rPr>
          <w:b/>
          <w:bCs/>
          <w:i/>
          <w:iCs/>
          <w:sz w:val="28"/>
          <w:szCs w:val="28"/>
        </w:rPr>
        <w:t xml:space="preserve">Đưa ra thị trường các loại hạt giống và vật liệu nhân giống thực vật </w:t>
      </w:r>
    </w:p>
    <w:p w:rsidR="003C1BEA" w:rsidRPr="009F7625" w:rsidRDefault="00594E65"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b/>
          <w:bCs/>
          <w:i/>
          <w:iCs/>
          <w:sz w:val="28"/>
          <w:szCs w:val="28"/>
        </w:rPr>
        <w:t>đã qua xử lý</w:t>
      </w:r>
    </w:p>
    <w:p w:rsidR="003C1BEA" w:rsidRPr="009F7625" w:rsidRDefault="00594E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1. Việc xử lý hạt giống và vật liệu nhân giống thực vật bằng các sản phẩm bảo vệ thực vật, cũng như việc gieo trồng hạt giống và vật liệu nhân giống thực vật đã được xử lý, được coi là một hình thức sử dụng sản phẩm bảo vệ thực vật.</w:t>
      </w:r>
    </w:p>
    <w:p w:rsidR="003C1BEA" w:rsidRPr="009F7625" w:rsidRDefault="00594E65"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2. Nghiêm cấm việc đưa ra thị trường và sử dụng các loại hạt giống và vật liệu nhân giống thực vật đã được xử lý bằng sản phẩm bảo vệ thực vật chưa được cấp phép tại bất kỳ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nào</w:t>
      </w:r>
      <w:r w:rsidR="003C1BEA" w:rsidRPr="009F7625">
        <w:rPr>
          <w:i/>
          <w:iCs/>
          <w:sz w:val="28"/>
          <w:szCs w:val="28"/>
        </w:rPr>
        <w:t>.</w:t>
      </w:r>
    </w:p>
    <w:p w:rsidR="003C1BEA" w:rsidRPr="009F7625" w:rsidRDefault="009C08FC"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3. Các quốc gia thành viên chỉ có thể cấm việc đưa ra thị trường hoặc sử dụng hạt giống và vật liệu nhân giống thực vật đã được xử lý bằng sản phẩm bảo vệ thực vật được cấp phép cho mục đích sử dụng đó tại ít nhất một quốc gia thành viên, nếu có những quan ngại đáng kể cho thấy các hạt giống đã được xử lý có khả năng gây ra rủi ro nghiêm trọng đối với sức khỏe con người, sức khỏe động vật hoặc môi trường và rủi ro đó không thể được kiểm soát thỏa đáng bằng các biện pháp do quốc gia thành viên liên quan áp dụng</w:t>
      </w:r>
      <w:r w:rsidR="003C1BEA" w:rsidRPr="009F7625">
        <w:rPr>
          <w:i/>
          <w:iCs/>
          <w:sz w:val="28"/>
          <w:szCs w:val="28"/>
        </w:rPr>
        <w:t>.</w:t>
      </w:r>
    </w:p>
    <w:p w:rsidR="003C1BEA" w:rsidRPr="009F7625" w:rsidRDefault="009C08FC"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4. Trong các trường hợp quy định tại Khoản 3 nêu trên, Ủy ban có thể áp dụng các biện pháp nhằm hạn chế hoặc cấm việc sử dụng và/hoặc bán các hạt giống và vật liệu nhân giống thực vật đã được xử lý đó theo thủ tục quy định tại Khoản 3 Điều 79. Trước khi áp dụng các biện pháp này, Ủy ban phải xem xét các bằng chứng và có thể yêu cầu Cơ quan đưa ra ý kiến. Ủy ban có thể ấn định thời hạn để Cơ quan cung cấp ý kiến đó</w:t>
      </w:r>
      <w:r w:rsidR="003C1BEA" w:rsidRPr="009F7625">
        <w:rPr>
          <w:i/>
          <w:iCs/>
          <w:sz w:val="28"/>
          <w:szCs w:val="28"/>
        </w:rPr>
        <w:t>.</w:t>
      </w:r>
    </w:p>
    <w:p w:rsidR="003C1BEA" w:rsidRPr="009F7625" w:rsidRDefault="009C08FC"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5. </w:t>
      </w:r>
      <w:r w:rsidR="003C1BEA" w:rsidRPr="009F7625">
        <w:rPr>
          <w:i/>
          <w:iCs/>
          <w:sz w:val="28"/>
          <w:szCs w:val="28"/>
        </w:rPr>
        <w:t>Các Điều 70 và 71 được áp dụng.</w:t>
      </w:r>
    </w:p>
    <w:p w:rsidR="003C1BEA" w:rsidRPr="009F7625" w:rsidRDefault="009C08FC"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6. Không ảnh hưởng đến các quy định khác của Liên minh về ghi nhãn hạt giống và vật liệu nhân giống thực vật, nhãn và các tài liệu kèm theo đối với hạt giống và vật liệu nhân giống thực vật đã được xử lý phải ghi rõ các thông tin sau đây: tên của sản phẩm bảo vệ thực vật đã được sử dụng để xử lý; số giấy phép của sản phẩm đó và quốc gia thành viên đã cấp phép; tên của các hoạt chất có trong sản phẩm; các cụm từ tiêu chuẩn về biện pháp phòng ngừa an toàn theo quy định tại Quy định (EC) số 1272/2008; và, khi phù hợp, các biện pháp giảm thiểu rủi ro được quy định trong giấy phép của sản phẩm đó</w:t>
      </w:r>
      <w:r w:rsidR="003C1BEA" w:rsidRPr="009F7625">
        <w:rPr>
          <w:i/>
          <w:iCs/>
          <w:sz w:val="28"/>
          <w:szCs w:val="28"/>
        </w:rPr>
        <w:t>.</w:t>
      </w:r>
    </w:p>
    <w:p w:rsidR="003C1BEA" w:rsidRPr="009F7625" w:rsidRDefault="009C08F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lastRenderedPageBreak/>
        <w:t>7. Máy móc dùng để gieo hạt giống đã được xử lý không được coi là thiết bị phun, rải thuốc bảo vệ thực vật theo quy định tại Điều 8 của Chỉ thị 2009/128/EC.</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30</w:t>
      </w:r>
      <w:r w:rsidR="006F5BC8"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51 được sửa đổi như sau:</w:t>
      </w:r>
    </w:p>
    <w:p w:rsidR="00B907E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B907E6" w:rsidRPr="009F7625">
        <w:rPr>
          <w:rFonts w:ascii="Times New Roman" w:eastAsia="Times New Roman" w:hAnsi="Times New Roman" w:cs="Times New Roman"/>
          <w:sz w:val="28"/>
          <w:szCs w:val="28"/>
        </w:rPr>
        <w:t>Khoản 2</w:t>
      </w:r>
      <w:r w:rsidRPr="009F7625">
        <w:rPr>
          <w:rFonts w:ascii="Times New Roman" w:eastAsia="Times New Roman" w:hAnsi="Times New Roman" w:cs="Times New Roman"/>
          <w:sz w:val="28"/>
          <w:szCs w:val="28"/>
        </w:rPr>
        <w:t xml:space="preserve"> được thay thế bằng </w:t>
      </w:r>
      <w:r w:rsidR="00B907E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 xml:space="preserve">sau: </w:t>
      </w:r>
    </w:p>
    <w:p w:rsidR="00B907E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"2. </w:t>
      </w:r>
      <w:r w:rsidR="00B907E6" w:rsidRPr="009F7625">
        <w:rPr>
          <w:rFonts w:ascii="Times New Roman" w:eastAsia="Times New Roman" w:hAnsi="Times New Roman" w:cs="Times New Roman"/>
          <w:i/>
          <w:iCs/>
          <w:sz w:val="28"/>
          <w:szCs w:val="28"/>
        </w:rPr>
        <w:t>Các quốc gia thành viên phải mở rộng giấy phép với điều kiện tất cả các điều kiện sau đây được đáp ứng:</w:t>
      </w:r>
    </w:p>
    <w:p w:rsidR="00B907E6" w:rsidRPr="009F7625" w:rsidRDefault="00B907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Mục đích sử dụng dự kiến có tính chất thứ yếu </w:t>
      </w:r>
    </w:p>
    <w:p w:rsidR="00B907E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B907E6" w:rsidRPr="009F7625">
        <w:rPr>
          <w:rFonts w:ascii="Times New Roman" w:eastAsia="Times New Roman" w:hAnsi="Times New Roman" w:cs="Times New Roman"/>
          <w:i/>
          <w:iCs/>
          <w:sz w:val="28"/>
          <w:szCs w:val="28"/>
        </w:rPr>
        <w:t>Các điều kiện quy định tại điểm b, d, e Khoản 3 Điều 4, và tại điểm I, Khoản 1 Điều 29 được đáp ứng;</w:t>
      </w:r>
    </w:p>
    <w:p w:rsidR="003C1BEA" w:rsidRPr="009F7625" w:rsidRDefault="00B907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c) Hồ sơ và thông tin để hỗ trợ việc mở rộng mục đích sử dụng đã được nộp bởi các cá nhân hoặc tổ chức quy định tại Khoản 1, hoặc có sẵn theo cách khác, đặc biệt bao gồm dữ liệu về dư lượng và, khi cần thiết, dữ liệu đánh giá rủi ro đối với người vận hành, người lao động và những người xung quanh.</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B907E6"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3 được thay thế bằng </w:t>
      </w:r>
      <w:r w:rsidR="00B907E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"3. </w:t>
      </w:r>
      <w:r w:rsidR="00B907E6" w:rsidRPr="009F7625">
        <w:rPr>
          <w:rFonts w:ascii="Times New Roman" w:eastAsia="Times New Roman" w:hAnsi="Times New Roman" w:cs="Times New Roman"/>
          <w:i/>
          <w:iCs/>
          <w:sz w:val="28"/>
          <w:szCs w:val="28"/>
        </w:rPr>
        <w:t>Các quốc gia thành viên phải áp dụng các biện pháp nhằm tạo điều kiện thuận lợi hoặc khuyến khích việc nộp hồ sơ đề nghị mở rộng giấy phép đối với các sản phẩm bảo vệ thực vật đã được cấp phép cho các mục đích sử dụng thứ yếu</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c) </w:t>
      </w:r>
      <w:r w:rsidR="00B907E6"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7 được thay thế bằng </w:t>
      </w:r>
      <w:r w:rsidR="00B907E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B907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“7. Các đối tượng nộp hồ sơ quy định tại Khoản 1 cũng có thể nộp hồ sơ đề nghị cấp phép đối với sản phẩm bảo vệ thực vật cho các mục đích sử dụng nhỏ theo quy định tại Khoản 1 Điều 40, ngay cả khi các mục đích sử dụng tại quốc gia thành viên tham chiếu không phải là mục đích sử dụng nhỏ. Các quốc gia thành viên phải cấp phép cho các mục đích sử dụng đó theo quy định tại Điều 41.</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d) </w:t>
      </w:r>
      <w:r w:rsidR="007B7187" w:rsidRPr="009F7625">
        <w:rPr>
          <w:rFonts w:ascii="Times New Roman" w:eastAsia="Times New Roman" w:hAnsi="Times New Roman" w:cs="Times New Roman"/>
          <w:sz w:val="28"/>
          <w:szCs w:val="28"/>
        </w:rPr>
        <w:t xml:space="preserve">Khỏa </w:t>
      </w:r>
      <w:r w:rsidRPr="009F7625">
        <w:rPr>
          <w:rFonts w:ascii="Times New Roman" w:eastAsia="Times New Roman" w:hAnsi="Times New Roman" w:cs="Times New Roman"/>
          <w:sz w:val="28"/>
          <w:szCs w:val="28"/>
        </w:rPr>
        <w:t xml:space="preserve">9 được thay thế bằng </w:t>
      </w:r>
      <w:r w:rsidR="007B7187"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"9. </w:t>
      </w:r>
      <w:r w:rsidR="007B7187" w:rsidRPr="009F7625">
        <w:rPr>
          <w:rFonts w:ascii="Times New Roman" w:eastAsia="Times New Roman" w:hAnsi="Times New Roman" w:cs="Times New Roman"/>
          <w:i/>
          <w:iCs/>
          <w:sz w:val="28"/>
          <w:szCs w:val="28"/>
        </w:rPr>
        <w:t>Các quy định chi tiết để thực hiện Điều 51 này có thể được ban hành theo thủ tục quy định tại Khoản 3 Điều 79</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31</w:t>
      </w:r>
      <w:r w:rsidR="00EE0533"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Điều 59 được thay thế bằng </w:t>
      </w:r>
      <w:r w:rsidR="00EE0533"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A9552D"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Điều 59</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Bảo vệ dữ liệu</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 Các báo cáo thử nghiệm và nghiên cứu được hưởng cơ chế bảo hộ dữ liệu trên toàn Liên minh theo các điều kiện quy định tại Điều này</w:t>
      </w:r>
      <w:r w:rsidR="003C1BEA" w:rsidRPr="009F7625">
        <w:rPr>
          <w:rFonts w:ascii="Times New Roman" w:eastAsia="Times New Roman" w:hAnsi="Times New Roman" w:cs="Times New Roman"/>
          <w:i/>
          <w:iCs/>
          <w:sz w:val="28"/>
          <w:szCs w:val="28"/>
        </w:rPr>
        <w:t>.</w:t>
      </w:r>
    </w:p>
    <w:p w:rsidR="00EE0533"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2. Bảo hộ dữ liệu có thể được áp dụng đối với các báo cáo thử nghiệm và nghiên cứu liên quan đến hoạt chất, chất bảo vệ hoặc chất hiệp lực, chất bổ trợ và sản phẩm bảo vệ thực vật quy định tại Khoản 2 Điều 8, khi các báo cáo thử nghiệm và nghiên cứu đó được một người nộp hồ sơ xin cấp phép theo Quy định này (người nộp hồ sơ đầu tiên) nộp cho một quốc gia thành viên, với điều kiện các báo cáo thử nghiệm và nghiên cứu đó:</w:t>
      </w:r>
    </w:p>
    <w:p w:rsidR="00EE0533"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Cần thiết cho việc cấp phép hoặc cho việc sửa đổi giấy phép nhằm cho phép sử dụng trên một loại cây trồng khác</w:t>
      </w:r>
      <w:r w:rsidR="003C1BEA" w:rsidRPr="009F7625">
        <w:rPr>
          <w:rFonts w:ascii="Times New Roman" w:eastAsia="Times New Roman" w:hAnsi="Times New Roman" w:cs="Times New Roman"/>
          <w:i/>
          <w:iCs/>
          <w:sz w:val="28"/>
          <w:szCs w:val="28"/>
        </w:rPr>
        <w:t xml:space="preserve">; </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Được chứng nhận là tuân thủ các nguyên tắc thực hành phòng thí nghiệm tốt (GLP) hoặc thực hành thử nghiệm tốt.</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3. Bảo hộ dữ liệu sẽ được áp dụng đối với các báo cáo thử nghiệm và nghiên cứu quy định tại Khoản 2 nếu người nộp hồ sơ đầu tiên đã yêu cầu bảo hộ tại thời điểm nộp hồ sơ và đã cung cấp cho quốc gia thành viên liên quan, đối với từng báo cáo thử nghiệm hoặc nghiên cứu, các thông tin quy định tại Điểm f Khoản 1 Điều 8 và Điểm d Khoản 3 Điều 33, đồng thời xác nhận rằng chưa từng có thời hạn bảo hộ dữ liệu nào theo Quy định này được cấp cho các báo cáo đó tại bất kỳ nơi nào trong Liên minh</w:t>
      </w:r>
      <w:r w:rsidR="003C1BEA" w:rsidRPr="009F7625">
        <w:rPr>
          <w:rFonts w:ascii="Times New Roman" w:eastAsia="Times New Roman" w:hAnsi="Times New Roman" w:cs="Times New Roman"/>
          <w:i/>
          <w:iCs/>
          <w:sz w:val="28"/>
          <w:szCs w:val="28"/>
        </w:rPr>
        <w:t>.</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4. Trường hợp người nộp hồ sơ đầu tiên không yêu cầu bảo hộ dữ liệu đối với một báo cáo thử nghiệm hoặc nghiên cứu được nộp lần đầu trong hồ sơ theo Quy định này, thì báo cáo đó sẽ không được bảo hộ dữ liệu và có thể được sử dụng cho lợi ích của bất kỳ người nộp hồ sơ tiếp theo nào</w:t>
      </w:r>
      <w:r w:rsidR="003C1BEA" w:rsidRPr="009F7625">
        <w:rPr>
          <w:rFonts w:ascii="Times New Roman" w:eastAsia="Times New Roman" w:hAnsi="Times New Roman" w:cs="Times New Roman"/>
          <w:i/>
          <w:iCs/>
          <w:sz w:val="28"/>
          <w:szCs w:val="28"/>
        </w:rPr>
        <w:t>.</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5. Trường hợp một báo cáo thử nghiệm hoặc nghiên cứu được bảo hộ dữ liệu, báo cáo đó không được bất kỳ quốc gia thành viên nào sử dụng vì lợi ích của các người nộp hồ sơ khác khi xin cấp phép đối với sản phẩm bảo vệ thực vật, chất bảo vệ, chất hiệp lực hoặc chất bổ trợ, trừ các trường hợp quy định tại Điều 62 hoặc Điều 80, hoặc trong các trường hợp sau</w:t>
      </w:r>
      <w:r w:rsidR="003C1BEA" w:rsidRPr="009F7625">
        <w:rPr>
          <w:rFonts w:ascii="Times New Roman" w:eastAsia="Times New Roman" w:hAnsi="Times New Roman" w:cs="Times New Roman"/>
          <w:i/>
          <w:iCs/>
          <w:sz w:val="28"/>
          <w:szCs w:val="28"/>
        </w:rPr>
        <w:t>:</w:t>
      </w:r>
    </w:p>
    <w:p w:rsidR="00EE0533"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Người nộp hồ sơ đã nộp thư cho phép tiếp cận dữ liệu (letter of access);</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EE0533" w:rsidRPr="009F7625">
        <w:rPr>
          <w:rFonts w:ascii="Times New Roman" w:eastAsia="Times New Roman" w:hAnsi="Times New Roman" w:cs="Times New Roman"/>
          <w:i/>
          <w:iCs/>
          <w:sz w:val="28"/>
          <w:szCs w:val="28"/>
        </w:rPr>
        <w:t>Thời hạn bảo hộ dữ liệu được cấp đối với các báo cáo thử nghiệm và nghiên cứu theo Quy định này đã hết hiệu lực</w:t>
      </w:r>
      <w:r w:rsidRPr="009F7625">
        <w:rPr>
          <w:rFonts w:ascii="Times New Roman" w:eastAsia="Times New Roman" w:hAnsi="Times New Roman" w:cs="Times New Roman"/>
          <w:i/>
          <w:iCs/>
          <w:sz w:val="28"/>
          <w:szCs w:val="28"/>
        </w:rPr>
        <w:t>.</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6. Thời hạn bảo hộ dữ liệu là 10 năm, tính từ ngày quốc gia thành viên đầu tiên cấp giấy phép cho sản phẩm bảo vệ thực vật trên cơ sở hồ sơ có chứa báo cáo thử nghiệm hoặc nghiên cứu đó. Đối với các sản phẩm bảo vệ thực vật thuộc phạm vi Điều 47, thời hạn bảo hộ dữ liệu được kéo dài lên 13 năm</w:t>
      </w:r>
      <w:r w:rsidR="003C1BEA" w:rsidRPr="009F7625">
        <w:rPr>
          <w:rFonts w:ascii="Times New Roman" w:eastAsia="Times New Roman" w:hAnsi="Times New Roman" w:cs="Times New Roman"/>
          <w:i/>
          <w:iCs/>
          <w:sz w:val="28"/>
          <w:szCs w:val="28"/>
        </w:rPr>
        <w:t>.</w:t>
      </w:r>
    </w:p>
    <w:p w:rsidR="003C1BEA" w:rsidRPr="009F7625" w:rsidRDefault="00EE0533"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7. </w:t>
      </w:r>
      <w:r w:rsidR="00A9552D" w:rsidRPr="009F7625">
        <w:rPr>
          <w:rFonts w:ascii="Times New Roman" w:eastAsia="Times New Roman" w:hAnsi="Times New Roman" w:cs="Times New Roman"/>
          <w:i/>
          <w:iCs/>
          <w:sz w:val="28"/>
          <w:szCs w:val="28"/>
        </w:rPr>
        <w:t xml:space="preserve">Thời hạn bảo hộ dữ liệu được gia hạn thêm ba tháng đối với mỗi lần mở rộng giấy phép cho mục đích sử dụng thứ yếu trên một tổ hợp cây trồng/sinh vật gây hại khác theo quy định tại Khoản 1 Điều 51, trừ trường hợp việc mở rộng giấy phép dựa trên phương pháp ngoại suy. Việc gia hạn này chỉ áp dụng nếu hồ </w:t>
      </w:r>
      <w:r w:rsidR="00A9552D" w:rsidRPr="009F7625">
        <w:rPr>
          <w:rFonts w:ascii="Times New Roman" w:eastAsia="Times New Roman" w:hAnsi="Times New Roman" w:cs="Times New Roman"/>
          <w:i/>
          <w:iCs/>
          <w:sz w:val="28"/>
          <w:szCs w:val="28"/>
        </w:rPr>
        <w:lastRenderedPageBreak/>
        <w:t>sơ đề nghị mở rộng được chủ sở hữu giấy phép nộp chậm nhất trong vòng năm năm kể từ ngày quy định tại Khoản 5</w:t>
      </w:r>
      <w:r w:rsidR="003C1BEA" w:rsidRPr="009F7625">
        <w:rPr>
          <w:rFonts w:ascii="Times New Roman" w:eastAsia="Times New Roman" w:hAnsi="Times New Roman" w:cs="Times New Roman"/>
          <w:i/>
          <w:iCs/>
          <w:sz w:val="28"/>
          <w:szCs w:val="28"/>
        </w:rPr>
        <w:t>.</w:t>
      </w:r>
    </w:p>
    <w:p w:rsidR="003C1BEA" w:rsidRPr="009F7625" w:rsidRDefault="00A9552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8. Các báo cáo thử nghiệm và nghiên cứu do bên thứ ba nộp nhằm phục vụ việc mở rộng giấy phép cho các mục đích sử dụng nhỏ theo quy định tại Khoản 1 Điều 51 cũng được hưởng cơ chế bảo hộ dữ liệu giống như đối với lần cấp phép đầu tiên</w:t>
      </w:r>
      <w:r w:rsidR="003C1BEA" w:rsidRPr="009F7625">
        <w:rPr>
          <w:rFonts w:ascii="Times New Roman" w:eastAsia="Times New Roman" w:hAnsi="Times New Roman" w:cs="Times New Roman"/>
          <w:i/>
          <w:iCs/>
          <w:sz w:val="28"/>
          <w:szCs w:val="28"/>
        </w:rPr>
        <w:t>.</w:t>
      </w:r>
    </w:p>
    <w:p w:rsidR="003C1BEA" w:rsidRPr="009F7625" w:rsidRDefault="00A9552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9. Bảo hộ dữ liệu được áp dụng đối với các báo cáo thử nghiệm và nghiên cứu cần thiết cho việc gia hạn hoặc xem xét lại giấy phép. Thời hạn bảo hộ dữ liệu là 30 tháng, tính từ lần gia hạn đầu tiên của giấy phép được thực hiện theo Điều 43 tại bất kỳ quốc gia thành viên nào, hoặc từ kết luận đầu tiên của việc xem xét được thực hiện theo Điều 44 tại bất kỳ quốc gia thành viên nào. Các quy định tại các đoạn từ 1 đến 5 được áp dụng tương tự</w:t>
      </w:r>
      <w:r w:rsidR="003C1BEA" w:rsidRPr="009F7625">
        <w:rPr>
          <w:rFonts w:ascii="Times New Roman" w:eastAsia="Times New Roman" w:hAnsi="Times New Roman" w:cs="Times New Roman"/>
          <w:i/>
          <w:iCs/>
          <w:sz w:val="28"/>
          <w:szCs w:val="28"/>
        </w:rPr>
        <w:t>.</w:t>
      </w:r>
    </w:p>
    <w:p w:rsidR="003C1BEA" w:rsidRPr="009F7625" w:rsidRDefault="00A9552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10. Tổng thời hạn bảo hộ dữ liệu không được vượt quá 13 năm. Đối với các sản phẩm bảo vệ thực vật thuộc phạm vi Điều 47, tổng thời hạn bảo hộ dữ liệu không được vượt quá 15 năm</w:t>
      </w:r>
      <w:r w:rsidR="003C1BEA" w:rsidRPr="009F7625">
        <w:rPr>
          <w:rFonts w:ascii="Times New Roman" w:eastAsia="Times New Roman" w:hAnsi="Times New Roman" w:cs="Times New Roman"/>
          <w:i/>
          <w:iCs/>
          <w:sz w:val="28"/>
          <w:szCs w:val="28"/>
        </w:rPr>
        <w:t>.</w:t>
      </w:r>
    </w:p>
    <w:p w:rsidR="003C1BEA" w:rsidRPr="009F7625" w:rsidRDefault="00A9552D"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11. Các quy định chi tiết để thực hiện Điều này có thể được ban hành theo thủ tục quy định tại Khoản 3 Điều 79</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32</w:t>
      </w:r>
      <w:r w:rsidR="00D0123C" w:rsidRPr="009F7625">
        <w:rPr>
          <w:rFonts w:ascii="Times New Roman" w:eastAsia="Times New Roman" w:hAnsi="Times New Roman" w:cs="Times New Roman"/>
          <w:sz w:val="28"/>
          <w:szCs w:val="28"/>
        </w:rPr>
        <w:t xml:space="preserve">. Khoản 1, </w:t>
      </w:r>
      <w:r w:rsidRPr="009F7625">
        <w:rPr>
          <w:rFonts w:ascii="Times New Roman" w:eastAsia="Times New Roman" w:hAnsi="Times New Roman" w:cs="Times New Roman"/>
          <w:sz w:val="28"/>
          <w:szCs w:val="28"/>
        </w:rPr>
        <w:t xml:space="preserve">Điều 67được thay thế bằng </w:t>
      </w:r>
      <w:r w:rsidR="00D0123C"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"1. </w:t>
      </w:r>
      <w:r w:rsidR="00D0123C" w:rsidRPr="009F7625">
        <w:rPr>
          <w:rFonts w:ascii="Times New Roman" w:eastAsia="Times New Roman" w:hAnsi="Times New Roman" w:cs="Times New Roman"/>
          <w:sz w:val="28"/>
          <w:szCs w:val="28"/>
        </w:rPr>
        <w:t>Các nhà sản xuất, nhà cung cấp, nhà phân phối, nhà nhập khẩu và nhà xuất khẩu sản phẩm bảo vệ thực vật phải lưu giữ hồ sơ về các sản phẩm bảo vệ thực vật mà họ sản xuất, nhập khẩu, xuất khẩu, lưu trữ hoặc đưa ra thị trường trong thời hạn ít nhất 5 năm</w:t>
      </w:r>
      <w:r w:rsidRPr="009F7625">
        <w:rPr>
          <w:rFonts w:ascii="Times New Roman" w:eastAsia="Times New Roman" w:hAnsi="Times New Roman" w:cs="Times New Roman"/>
          <w:sz w:val="28"/>
          <w:szCs w:val="28"/>
        </w:rPr>
        <w:t>.</w:t>
      </w:r>
      <w:r w:rsidR="00D0123C" w:rsidRPr="009F7625">
        <w:rPr>
          <w:rFonts w:ascii="Times New Roman" w:eastAsia="Times New Roman" w:hAnsi="Times New Roman" w:cs="Times New Roman"/>
          <w:sz w:val="28"/>
          <w:szCs w:val="28"/>
        </w:rPr>
        <w:t xml:space="preserve"> Người sử dụng chuyên nghiệp các sản phẩm bảo vệ thực vật, trừ trường hợp các sản phẩm chỉ chứa các hoạt chất là hoạt chất kiểm soát sinh học, phải lưu giữ hồ sơ về các sản phẩm bảo vệ thực vật đã sử dụng trong thời hạn ít nhất 3 năm. Hồ sơ này phải bao gồm tên sản phẩm bảo vệ thực vật, thời điểm và liều lượng sử dụng, diện tích và loại cây trồng nơi sản phẩm được sử dụng.</w:t>
      </w:r>
    </w:p>
    <w:p w:rsidR="003C1BEA" w:rsidRPr="009F7625" w:rsidRDefault="00D0123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Theo yêu cầu, họ phải cung cấp cho cơ quan có thẩm quyền các thông tin liên quan có trong các hồ sơ này. Các bên thứ ba như ngành cấp nước uống, các nhà bán lẻ hoặc cư dân có thể yêu cầu tiếp cận các thông tin này thông qua cơ quan có thẩm quyền. Cơ quan có thẩm quyền phải cung cấp quyền tiếp cận các thông tin đó theo quy định của pháp luật quốc gia hoặc pháp luật của Liên minh có liên quan.</w:t>
      </w:r>
      <w:r w:rsidR="003C1BEA"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33</w:t>
      </w:r>
      <w:r w:rsidR="00D0123C" w:rsidRPr="009F7625">
        <w:rPr>
          <w:rFonts w:ascii="Times New Roman" w:eastAsia="Times New Roman" w:hAnsi="Times New Roman" w:cs="Times New Roman"/>
          <w:sz w:val="28"/>
          <w:szCs w:val="28"/>
        </w:rPr>
        <w:t xml:space="preserve">. Bãi bỏ </w:t>
      </w:r>
      <w:r w:rsidRPr="009F7625">
        <w:rPr>
          <w:rFonts w:ascii="Times New Roman" w:eastAsia="Times New Roman" w:hAnsi="Times New Roman" w:cs="Times New Roman"/>
          <w:sz w:val="28"/>
          <w:szCs w:val="28"/>
        </w:rPr>
        <w:t>Điều 68.</w:t>
      </w:r>
    </w:p>
    <w:p w:rsidR="003C1BEA" w:rsidRPr="009F7625" w:rsidRDefault="00D0123C"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ĐIỀU 2</w:t>
      </w:r>
    </w:p>
    <w:p w:rsidR="00D0123C" w:rsidRPr="009F7625" w:rsidRDefault="00D0123C" w:rsidP="00603B23">
      <w:pPr>
        <w:shd w:val="clear" w:color="auto" w:fill="FFFFFF"/>
        <w:spacing w:after="0" w:line="360" w:lineRule="atLeast"/>
        <w:ind w:firstLine="709"/>
        <w:jc w:val="center"/>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QUY ĐỊNH CHUYỂN TIẾP LIÊN QUAN ĐẾN </w:t>
      </w:r>
    </w:p>
    <w:p w:rsidR="003C1BEA" w:rsidRPr="009F7625" w:rsidRDefault="00D0123C"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QUY ĐỊNH (EC) SỐ 1107/2009</w:t>
      </w:r>
    </w:p>
    <w:p w:rsidR="003C1BEA" w:rsidRPr="009F7625" w:rsidRDefault="00D0123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1.Khoản 2 Điều 14 của Quy định (EC) số 1107/2009, được sửa đổi bởi [vui lòng chèn số hiệu của Quy định này], sau khi hoàn tất thủ tục gia hạn, cũng được áp dụng đối với các hoạt chất mà hồ sơ đề nghị gia hạn phê duyệt đã được nộp trước ngày Quy định này có hiệu lực.</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D0123C" w:rsidRPr="009F7625">
        <w:rPr>
          <w:rFonts w:ascii="Times New Roman" w:eastAsia="Times New Roman" w:hAnsi="Times New Roman" w:cs="Times New Roman"/>
          <w:sz w:val="28"/>
          <w:szCs w:val="28"/>
        </w:rPr>
        <w:t>.Điều 59 của Quy định (EC) số 1107/2009 theo phiên bản trước khi được sửa đổi bởi Quy định này vẫn tiếp tục áp dụng đối với các báo cáo thử nghiệm và nghiên cứu mà thời hạn bảo hộ dữ liệu tại một quốc gia thành viên đã bắt đầu trước ngày (…) [vui lòng xác định ngày Quy định này có hiệu lực]</w:t>
      </w:r>
      <w:r w:rsidRPr="009F7625">
        <w:rPr>
          <w:rFonts w:ascii="Times New Roman" w:eastAsia="Times New Roman" w:hAnsi="Times New Roman" w:cs="Times New Roman"/>
          <w:sz w:val="28"/>
          <w:szCs w:val="28"/>
        </w:rPr>
        <w:t xml:space="preserve">. </w:t>
      </w:r>
      <w:r w:rsidR="00D0123C" w:rsidRPr="009F7625">
        <w:rPr>
          <w:rFonts w:ascii="Times New Roman" w:eastAsia="Times New Roman" w:hAnsi="Times New Roman" w:cs="Times New Roman"/>
          <w:sz w:val="28"/>
          <w:szCs w:val="28"/>
        </w:rPr>
        <w:t>Điều 59 của Quy định (EC) số 1107/2009 theo phiên bản được sửa đổi bởi Quy định này sẽ được áp dụng đối với các báo cáo thử nghiệm hoặc nghiên cứu đó kể từ ngày chúng được nộp lần đầu để xin cấp phép cho một sản phẩm bảo vệ thực vật tại bất kỳ quốc gia thành viên nào khác sau ngày (…) [vui lòng xác định ngày Quy định này có hiệu lực], ngoại trừ câu cuối của Khoản 3 Điều 59. Tuy nhiên, quy định này không áp dụng đối với các quốc gia thành viên đã được đề cập trong câu trước.”</w:t>
      </w:r>
    </w:p>
    <w:p w:rsidR="00D0123C"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D0123C" w:rsidRPr="009F7625">
        <w:rPr>
          <w:rFonts w:ascii="Times New Roman" w:eastAsia="Times New Roman" w:hAnsi="Times New Roman" w:cs="Times New Roman"/>
          <w:sz w:val="28"/>
          <w:szCs w:val="28"/>
        </w:rPr>
        <w:t>. Khoản 6 Điều 23a của Quy định (EC) số 1107/2009, được sửa đổi bởi [vui lòng chèn số hiệu của Quy định này], cũng được áp dụng đối với tất cả các chất cơ bản đã được phê duyệt trước khi Quy định này có hiệu lực.</w:t>
      </w:r>
    </w:p>
    <w:p w:rsidR="003C1BEA" w:rsidRPr="009F7625" w:rsidRDefault="00D0123C"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ĐIỀU 3</w:t>
      </w:r>
    </w:p>
    <w:p w:rsidR="003C1BEA" w:rsidRPr="009F7625" w:rsidRDefault="00D0123C"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SỬA ĐỔI ĐỐI VỚI QUY ĐỊNH (EC) SỐ 396/2005</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số 396/2005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w:t>
      </w:r>
      <w:r w:rsidR="00D0123C" w:rsidRPr="009F7625">
        <w:rPr>
          <w:rFonts w:ascii="Times New Roman" w:eastAsia="Times New Roman" w:hAnsi="Times New Roman" w:cs="Times New Roman"/>
          <w:sz w:val="28"/>
          <w:szCs w:val="28"/>
        </w:rPr>
        <w:t xml:space="preserve">. Khoản 2 </w:t>
      </w:r>
      <w:r w:rsidRPr="009F7625">
        <w:rPr>
          <w:rFonts w:ascii="Times New Roman" w:eastAsia="Times New Roman" w:hAnsi="Times New Roman" w:cs="Times New Roman"/>
          <w:sz w:val="28"/>
          <w:szCs w:val="28"/>
        </w:rPr>
        <w:t>Điều 3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D0123C" w:rsidRPr="009F7625">
        <w:rPr>
          <w:rFonts w:ascii="Times New Roman" w:eastAsia="Times New Roman" w:hAnsi="Times New Roman" w:cs="Times New Roman"/>
          <w:sz w:val="28"/>
          <w:szCs w:val="28"/>
        </w:rPr>
        <w:t xml:space="preserve">Điểm </w:t>
      </w:r>
      <w:r w:rsidRPr="009F7625">
        <w:rPr>
          <w:rFonts w:ascii="Times New Roman" w:eastAsia="Times New Roman" w:hAnsi="Times New Roman" w:cs="Times New Roman"/>
          <w:sz w:val="28"/>
          <w:szCs w:val="28"/>
        </w:rPr>
        <w:t xml:space="preserve">a được thay thế bằng </w:t>
      </w:r>
      <w:r w:rsidR="00D0123C"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0C02A4" w:rsidRPr="009F7625" w:rsidRDefault="000C02A4"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Thực hành nông nghiệp tốt (GAP) là việc sử dụng an toàn các sản phẩm bảo vệ thực vật theo khuyến nghị, được cấp phép hoặc được đăng ký, trong Liên minh hoặc tại nước thứ ba, trong các điều kiện thực tế ở bất kỳ giai đoạn nào của quá trình sản xuất, lưu trữ, vận chuyển, phân phối và chế biến thực phẩm và thức ăn chăn nuôi. Khái niệm này cũng bao hàm việc áp dụng, phù hợp với Quy định (EC) số 1107/2009 và Chỉ thị 2009/128/EC, các nguyên tắc quản lý dịch hại tổng hợp trong một khu vực khí hậu nhất định, đồng thời sử dụng lượng thuốc bảo vệ thực vật ở mức tối thiểu và thiết lập mức dư lượng tối đa (MRL)/mức dư lượng tối đa tạm thời ở mức thấp nhất cho phép đạt được hiệu quả mong muốn.”</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0C02A4" w:rsidRPr="009F7625">
        <w:rPr>
          <w:rFonts w:ascii="Times New Roman" w:eastAsia="Times New Roman" w:hAnsi="Times New Roman" w:cs="Times New Roman"/>
          <w:sz w:val="28"/>
          <w:szCs w:val="28"/>
        </w:rPr>
        <w:t xml:space="preserve">Điểm </w:t>
      </w:r>
      <w:r w:rsidRPr="009F7625">
        <w:rPr>
          <w:rFonts w:ascii="Times New Roman" w:eastAsia="Times New Roman" w:hAnsi="Times New Roman" w:cs="Times New Roman"/>
          <w:sz w:val="28"/>
          <w:szCs w:val="28"/>
        </w:rPr>
        <w:t xml:space="preserve">fđược thay thế bằng </w:t>
      </w:r>
      <w:r w:rsidR="000C02A4"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0C02A4"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"f) ‘Giới hạn định lượng’ (LOQ) là nồng độ dư lượng thấp nhất được xác định, có thể định lượng và báo cáo trong quá trình giám sát định kỳ bằng các phương pháp kiểm soát đã qua thẩm định."</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c)</w:t>
      </w:r>
      <w:r w:rsidR="000C02A4" w:rsidRPr="009F7625">
        <w:rPr>
          <w:rFonts w:ascii="Times New Roman" w:eastAsia="Times New Roman" w:hAnsi="Times New Roman" w:cs="Times New Roman"/>
          <w:sz w:val="28"/>
          <w:szCs w:val="28"/>
        </w:rPr>
        <w:t xml:space="preserve"> Bãi bỏ</w:t>
      </w:r>
      <w:r w:rsidRPr="009F7625">
        <w:rPr>
          <w:rFonts w:ascii="Times New Roman" w:eastAsia="Times New Roman" w:hAnsi="Times New Roman" w:cs="Times New Roman"/>
          <w:sz w:val="28"/>
          <w:szCs w:val="28"/>
        </w:rPr>
        <w:t xml:space="preserve"> điểm g;</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0C02A4" w:rsidRPr="009F7625">
        <w:rPr>
          <w:rFonts w:ascii="Times New Roman" w:eastAsia="Times New Roman" w:hAnsi="Times New Roman" w:cs="Times New Roman"/>
          <w:sz w:val="28"/>
          <w:szCs w:val="28"/>
        </w:rPr>
        <w:t xml:space="preserve">. Khoản 4 </w:t>
      </w:r>
      <w:r w:rsidRPr="009F7625">
        <w:rPr>
          <w:rFonts w:ascii="Times New Roman" w:eastAsia="Times New Roman" w:hAnsi="Times New Roman" w:cs="Times New Roman"/>
          <w:sz w:val="28"/>
          <w:szCs w:val="28"/>
        </w:rPr>
        <w:t xml:space="preserve">Điều 6được thay thế bằng </w:t>
      </w:r>
      <w:r w:rsidR="000C02A4"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"4. </w:t>
      </w:r>
      <w:r w:rsidR="000C02A4" w:rsidRPr="009F7625">
        <w:rPr>
          <w:rFonts w:ascii="Times New Roman" w:eastAsia="Times New Roman" w:hAnsi="Times New Roman" w:cs="Times New Roman"/>
          <w:i/>
          <w:iCs/>
          <w:sz w:val="28"/>
          <w:szCs w:val="28"/>
        </w:rPr>
        <w:t>Hồ sơ đề nghị thiết lập mức dư lượng tối đa (MRL) dựa trên thực hành nông nghiệp tốt (GAP) được áp dụng tại nước thứ ba phải được nộp cho quốc gia thành viên báo cáo được chỉ định theo Quy định (EC) số 1107/2009. Trường hợp chưa có quốc gia thành viên báo cáo nào được chỉ định, hồ sơ phải được nộp cho các quốc gia thành viên do Ủy ban chỉ định theo thủ tục quy định tại Khoản 2 Điều 45 của Quy định này theo đề nghị của người nộp hồ sơ. Các hồ sơ này phải được nộp theo quy định tại Điều 7 của Quy định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696DDD" w:rsidRPr="009F7625">
        <w:rPr>
          <w:rFonts w:ascii="Times New Roman" w:eastAsia="Times New Roman" w:hAnsi="Times New Roman" w:cs="Times New Roman"/>
          <w:sz w:val="28"/>
          <w:szCs w:val="28"/>
        </w:rPr>
        <w:t>. Điểm b, Khoản 1</w:t>
      </w:r>
      <w:r w:rsidRPr="009F7625">
        <w:rPr>
          <w:rFonts w:ascii="Times New Roman" w:eastAsia="Times New Roman" w:hAnsi="Times New Roman" w:cs="Times New Roman"/>
          <w:sz w:val="28"/>
          <w:szCs w:val="28"/>
        </w:rPr>
        <w:t xml:space="preserve"> Điều 10 được thay thế </w:t>
      </w:r>
      <w:r w:rsidR="00696DDD" w:rsidRPr="009F7625">
        <w:rPr>
          <w:rFonts w:ascii="Times New Roman" w:eastAsia="Times New Roman" w:hAnsi="Times New Roman" w:cs="Times New Roman"/>
          <w:sz w:val="28"/>
          <w:szCs w:val="28"/>
        </w:rPr>
        <w:t>bằng nội dung</w:t>
      </w:r>
      <w:r w:rsidRPr="009F7625">
        <w:rPr>
          <w:rFonts w:ascii="Times New Roman" w:eastAsia="Times New Roman" w:hAnsi="Times New Roman" w:cs="Times New Roman"/>
          <w:sz w:val="28"/>
          <w:szCs w:val="28"/>
        </w:rPr>
        <w:t xml:space="preserve"> sau:</w:t>
      </w:r>
    </w:p>
    <w:p w:rsidR="00696DDD" w:rsidRPr="009F7625" w:rsidRDefault="00696DD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Giới hạn định lượng dự kiến (LOQ) đối với tổ hợp thuốc bảo vệ thực vật/sản phẩm.”</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4</w:t>
      </w:r>
      <w:r w:rsidR="00DF333B"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14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1977AE" w:rsidRPr="009F7625">
        <w:rPr>
          <w:rFonts w:ascii="Times New Roman" w:eastAsia="Times New Roman" w:hAnsi="Times New Roman" w:cs="Times New Roman"/>
          <w:sz w:val="28"/>
          <w:szCs w:val="28"/>
        </w:rPr>
        <w:t>Bổ sung nội dung Khoản 2 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1977AE" w:rsidRPr="009F7625">
        <w:rPr>
          <w:rFonts w:ascii="Times New Roman" w:eastAsia="Times New Roman" w:hAnsi="Times New Roman" w:cs="Times New Roman"/>
          <w:i/>
          <w:iCs/>
          <w:sz w:val="28"/>
          <w:szCs w:val="28"/>
        </w:rPr>
        <w:t xml:space="preserve">- Theo cơ chế ngoại lệ so với Điểm e, trong trường hợp hoạt chất có một hoặc nhiều đặc tính quy định tại các Điểm 3.6.2 đến 3.6.5, 3.7.1 đến 3.7.3 và 3.8.2 của Phụ lục II của Quy định (EC) số 1107/2009 theo kết quả đánh giá mới nhất theo Quy định (EC) số 1107/2009 hoặc theo một đánh giá cụ thể được thực hiện theo Điều 43 của Quy định (EC) số 396/2005, thì mức dư lượng tối đa (MRL) đã được thiết lập trên cơ sở CXL hoặc trên cơ sở thực hành nông nghiệp tốt (GAP) được áp dụng tại nước thứ ba có thể bị thu hồi và được thiết lập lại theo quy định tại </w:t>
      </w:r>
      <w:r w:rsidR="008D6166" w:rsidRPr="009F7625">
        <w:rPr>
          <w:rFonts w:ascii="Times New Roman" w:eastAsia="Times New Roman" w:hAnsi="Times New Roman" w:cs="Times New Roman"/>
          <w:i/>
          <w:iCs/>
          <w:sz w:val="28"/>
          <w:szCs w:val="28"/>
        </w:rPr>
        <w:t xml:space="preserve">điểm b, Khoản 1 </w:t>
      </w:r>
      <w:r w:rsidR="001977AE" w:rsidRPr="009F7625">
        <w:rPr>
          <w:rFonts w:ascii="Times New Roman" w:eastAsia="Times New Roman" w:hAnsi="Times New Roman" w:cs="Times New Roman"/>
          <w:i/>
          <w:iCs/>
          <w:sz w:val="28"/>
          <w:szCs w:val="28"/>
        </w:rPr>
        <w:t xml:space="preserve">Điều </w:t>
      </w:r>
      <w:r w:rsidR="008D6166" w:rsidRPr="009F7625">
        <w:rPr>
          <w:rFonts w:ascii="Times New Roman" w:eastAsia="Times New Roman" w:hAnsi="Times New Roman" w:cs="Times New Roman"/>
          <w:i/>
          <w:iCs/>
          <w:sz w:val="28"/>
          <w:szCs w:val="28"/>
        </w:rPr>
        <w:t>18</w:t>
      </w:r>
      <w:r w:rsidR="001977AE" w:rsidRPr="009F7625">
        <w:rPr>
          <w:rFonts w:ascii="Times New Roman" w:eastAsia="Times New Roman" w:hAnsi="Times New Roman" w:cs="Times New Roman"/>
          <w:i/>
          <w:iCs/>
          <w:sz w:val="28"/>
          <w:szCs w:val="28"/>
        </w:rPr>
        <w:t xml:space="preserve"> hoặc Điều 16, nếu được xem là phù hợp trên cơ sở kết quả của một đánh giá tác động</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696330" w:rsidRPr="009F7625">
        <w:rPr>
          <w:rFonts w:ascii="Times New Roman" w:eastAsia="Times New Roman" w:hAnsi="Times New Roman" w:cs="Times New Roman"/>
          <w:sz w:val="28"/>
          <w:szCs w:val="28"/>
        </w:rPr>
        <w:t>Bổ sung mới Khoản</w:t>
      </w:r>
      <w:r w:rsidRPr="009F7625">
        <w:rPr>
          <w:rFonts w:ascii="Times New Roman" w:eastAsia="Times New Roman" w:hAnsi="Times New Roman" w:cs="Times New Roman"/>
          <w:sz w:val="28"/>
          <w:szCs w:val="28"/>
        </w:rPr>
        <w:t xml:space="preserve"> 2a </w:t>
      </w:r>
      <w:r w:rsidR="00696330" w:rsidRPr="009F7625">
        <w:rPr>
          <w:rFonts w:ascii="Times New Roman" w:eastAsia="Times New Roman" w:hAnsi="Times New Roman" w:cs="Times New Roman"/>
          <w:sz w:val="28"/>
          <w:szCs w:val="28"/>
        </w:rPr>
        <w:t>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696330" w:rsidRPr="009F7625">
        <w:rPr>
          <w:rFonts w:ascii="Times New Roman" w:eastAsia="Times New Roman" w:hAnsi="Times New Roman" w:cs="Times New Roman"/>
          <w:i/>
          <w:iCs/>
          <w:sz w:val="28"/>
          <w:szCs w:val="28"/>
        </w:rPr>
        <w:t>2a. Khi cần thiết để bảo đảm việc tiếp thị, chế biến và tiêu thụ sản phẩm diễn ra bình thường, các quy định thiết lập hoặc sửa đổi mức dư lượng tối đa (MRL) theo Điều 14 có thể quy định các biện pháp chuyển tiếp, cho phép các sản phẩm được tiếp tục đưa ra thị trường hoặc lưu hành trên thị trường Liên minh nếu, tại thời điểm được đưa ra thị trường hoặc tại thời điểm được đưa vào lưu trữ sau khi sản xuất, các sản phẩm đó tuân thủ các MRL áp dụng hoặc thuộc trường hợp không áp dụng MRL</w:t>
      </w:r>
      <w:r w:rsidRPr="009F7625">
        <w:rPr>
          <w:rFonts w:ascii="Times New Roman" w:eastAsia="Times New Roman" w:hAnsi="Times New Roman" w:cs="Times New Roman"/>
          <w:i/>
          <w:iCs/>
          <w:sz w:val="28"/>
          <w:szCs w:val="28"/>
        </w:rPr>
        <w:t>.</w:t>
      </w:r>
    </w:p>
    <w:p w:rsidR="003C1BEA" w:rsidRPr="009F7625" w:rsidRDefault="00696330"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Trách nhiệm chứng minh thời điểm các sản phẩm được đưa ra thị trường hoặc được đưa vào lưu trữ sau khi sản xuất thuộc về cơ sở kinh doanh thực phẩm</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5</w:t>
      </w:r>
      <w:r w:rsidR="00C131A9" w:rsidRPr="009F7625">
        <w:rPr>
          <w:rFonts w:ascii="Times New Roman" w:eastAsia="Times New Roman" w:hAnsi="Times New Roman" w:cs="Times New Roman"/>
          <w:sz w:val="28"/>
          <w:szCs w:val="28"/>
        </w:rPr>
        <w:t xml:space="preserve">. Bãi bỏ điểm c, Khoản 1 </w:t>
      </w:r>
      <w:r w:rsidRPr="009F7625">
        <w:rPr>
          <w:rFonts w:ascii="Times New Roman" w:eastAsia="Times New Roman" w:hAnsi="Times New Roman" w:cs="Times New Roman"/>
          <w:sz w:val="28"/>
          <w:szCs w:val="28"/>
        </w:rPr>
        <w:t>Điều 15.</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6</w:t>
      </w:r>
      <w:r w:rsidR="00C131A9"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Điều 16 được thay thế bằng </w:t>
      </w:r>
      <w:r w:rsidR="00C131A9"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C131A9"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lastRenderedPageBreak/>
        <w:t xml:space="preserve">“Điều </w:t>
      </w:r>
      <w:r w:rsidR="003C1BEA" w:rsidRPr="009F7625">
        <w:rPr>
          <w:rFonts w:ascii="Times New Roman" w:eastAsia="Times New Roman" w:hAnsi="Times New Roman" w:cs="Times New Roman"/>
          <w:b/>
          <w:bCs/>
          <w:i/>
          <w:iCs/>
          <w:sz w:val="28"/>
          <w:szCs w:val="28"/>
        </w:rPr>
        <w:t>16</w:t>
      </w:r>
    </w:p>
    <w:p w:rsidR="00C131A9" w:rsidRPr="009F7625" w:rsidRDefault="00C131A9" w:rsidP="00603B23">
      <w:pPr>
        <w:shd w:val="clear" w:color="auto" w:fill="FFFFFF"/>
        <w:spacing w:after="0" w:line="360" w:lineRule="atLeast"/>
        <w:ind w:firstLine="709"/>
        <w:jc w:val="center"/>
        <w:rPr>
          <w:rFonts w:ascii="Times New Roman" w:eastAsia="Times New Roman" w:hAnsi="Times New Roman" w:cs="Times New Roman"/>
          <w:b/>
          <w:bCs/>
          <w:i/>
          <w:iCs/>
          <w:sz w:val="28"/>
          <w:szCs w:val="28"/>
        </w:rPr>
      </w:pPr>
      <w:r w:rsidRPr="009F7625">
        <w:rPr>
          <w:rFonts w:ascii="Times New Roman" w:eastAsia="Times New Roman" w:hAnsi="Times New Roman" w:cs="Times New Roman"/>
          <w:b/>
          <w:bCs/>
          <w:i/>
          <w:iCs/>
          <w:sz w:val="28"/>
          <w:szCs w:val="28"/>
        </w:rPr>
        <w:t xml:space="preserve">Thủ tục thiết lập mức dư lượng tối đa (MRL) </w:t>
      </w:r>
    </w:p>
    <w:p w:rsidR="00C131A9" w:rsidRPr="009F7625" w:rsidRDefault="00C131A9"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trong một số trường hợp nhất định</w:t>
      </w:r>
    </w:p>
    <w:p w:rsidR="003C1BEA" w:rsidRPr="009F7625" w:rsidRDefault="00C131A9"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w:t>
      </w:r>
      <w:r w:rsidR="00B83BE6" w:rsidRPr="009F7625">
        <w:rPr>
          <w:rFonts w:ascii="Times New Roman" w:eastAsia="Times New Roman" w:hAnsi="Times New Roman" w:cs="Times New Roman"/>
          <w:i/>
          <w:iCs/>
          <w:sz w:val="28"/>
          <w:szCs w:val="28"/>
        </w:rPr>
        <w:t xml:space="preserve">. </w:t>
      </w:r>
      <w:r w:rsidRPr="009F7625">
        <w:rPr>
          <w:rFonts w:ascii="Times New Roman" w:eastAsia="Times New Roman" w:hAnsi="Times New Roman" w:cs="Times New Roman"/>
          <w:i/>
          <w:iCs/>
          <w:sz w:val="28"/>
          <w:szCs w:val="28"/>
        </w:rPr>
        <w:t>Ủy ban có thể ban hành một Quy định theo Khoản 1 Điều 14 để thiết lập mức dư lượng tối đa (MRL) được đưa vào Phụ lục III trong các trường hợp sau</w:t>
      </w:r>
      <w:r w:rsidR="003C1BEA" w:rsidRPr="009F7625">
        <w:rPr>
          <w:rFonts w:ascii="Times New Roman" w:eastAsia="Times New Roman" w:hAnsi="Times New Roman" w:cs="Times New Roman"/>
          <w:i/>
          <w:iCs/>
          <w:sz w:val="28"/>
          <w:szCs w:val="28"/>
        </w:rPr>
        <w:t>:</w:t>
      </w:r>
    </w:p>
    <w:p w:rsidR="00C131A9" w:rsidRPr="009F7625" w:rsidRDefault="00B83B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Trong những trường hợp đặc biệt, đặc biệt là khi dư lượng thuốc bảo vệ thực vật có thể phát sinh do ô nhiễm môi trường hoặc các dạng ô nhiễm khác, hoặc do việc sử dụng các sản phẩm bảo vệ thực vật theo quy định tại Quy định (EC) số 1107/2009;</w:t>
      </w:r>
    </w:p>
    <w:p w:rsidR="00B83BE6" w:rsidRPr="009F7625" w:rsidRDefault="00B83B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Trường hợp các sản phẩm liên quan chỉ chiếm một phần thứ yếu trong chế độ ăn uống của người tiêu dùng, và không chiếm phần lớn trong chế độ ăn uống của các nhóm đối tượng liên quan, cũng như của động vật (nếu có);</w:t>
      </w:r>
    </w:p>
    <w:p w:rsidR="00C131A9"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 </w:t>
      </w:r>
      <w:r w:rsidR="00B83BE6" w:rsidRPr="009F7625">
        <w:rPr>
          <w:rFonts w:ascii="Times New Roman" w:eastAsia="Times New Roman" w:hAnsi="Times New Roman" w:cs="Times New Roman"/>
          <w:i/>
          <w:iCs/>
          <w:sz w:val="28"/>
          <w:szCs w:val="28"/>
        </w:rPr>
        <w:t xml:space="preserve">Đối </w:t>
      </w:r>
      <w:r w:rsidRPr="009F7625">
        <w:rPr>
          <w:rFonts w:ascii="Times New Roman" w:eastAsia="Times New Roman" w:hAnsi="Times New Roman" w:cs="Times New Roman"/>
          <w:i/>
          <w:iCs/>
          <w:sz w:val="28"/>
          <w:szCs w:val="28"/>
        </w:rPr>
        <w:t xml:space="preserve">với mật ong; </w:t>
      </w:r>
    </w:p>
    <w:p w:rsidR="00B83BE6"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d) </w:t>
      </w:r>
      <w:r w:rsidR="00B83BE6" w:rsidRPr="009F7625">
        <w:rPr>
          <w:rFonts w:ascii="Times New Roman" w:eastAsia="Times New Roman" w:hAnsi="Times New Roman" w:cs="Times New Roman"/>
          <w:i/>
          <w:iCs/>
          <w:sz w:val="28"/>
          <w:szCs w:val="28"/>
        </w:rPr>
        <w:t>Đối với các loại dịch chiết thảo mộc dùng làm đồ uống (herbal infusions)</w:t>
      </w:r>
      <w:r w:rsidRPr="009F7625">
        <w:rPr>
          <w:rFonts w:ascii="Times New Roman" w:eastAsia="Times New Roman" w:hAnsi="Times New Roman" w:cs="Times New Roman"/>
          <w:i/>
          <w:iCs/>
          <w:sz w:val="28"/>
          <w:szCs w:val="28"/>
        </w:rPr>
        <w:t xml:space="preserve">; </w:t>
      </w:r>
    </w:p>
    <w:p w:rsidR="00B83BE6" w:rsidRPr="009F7625" w:rsidRDefault="00B83B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e) Trường hợp một Quyết định loại bỏ một hoạt chất, hoặc không đưa vào Phụ lục I thuộc Chỉ thị 91/414/EEC, nhưng vẫn xác định rằng còn tồn tại các mục đích sử dụng thiết yếu của sản phẩm bảo vệ thực vật.</w:t>
      </w:r>
    </w:p>
    <w:p w:rsidR="003C1BEA" w:rsidRPr="009F7625" w:rsidRDefault="00B83BE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f) Trường hợp các sản phẩm mới, nhóm sản phẩm mới và/hoặc các bộ phận của sản phẩm được bổ sung vào Phụ lục I, và có một hoặc nhiều quốc gia thành viên yêu cầu, nhằm tạo điều kiện để thực hiện và đánh giá các nghiên cứu khoa học cần thiết phục vụ việc thiết lập MRL, với điều kiện không có lo ngại nghiêm trọng nào về an toàn đối với người tiêu dùng.”</w:t>
      </w:r>
    </w:p>
    <w:p w:rsidR="003C1BEA" w:rsidRPr="009F7625" w:rsidRDefault="00B83BE6"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2. Việc thiết lập các mức MRL quy định tại Khoản 1 phải dựa trên ý kiến của Cơ quan Thẩm quyền, dữ liệu giám sát và kết quả đánh giá chứng minh rằng không phát sinh rủi ro không thể chấp nhận được đối với người tiêu dùng hoặc động vật</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7</w:t>
      </w:r>
      <w:r w:rsidR="00710A50" w:rsidRPr="009F7625">
        <w:rPr>
          <w:rFonts w:ascii="Times New Roman" w:eastAsia="Times New Roman" w:hAnsi="Times New Roman" w:cs="Times New Roman"/>
          <w:sz w:val="28"/>
          <w:szCs w:val="28"/>
        </w:rPr>
        <w:t>.Bổ sung</w:t>
      </w:r>
      <w:r w:rsidR="00C90026" w:rsidRPr="009F7625">
        <w:rPr>
          <w:rFonts w:ascii="Times New Roman" w:eastAsia="Times New Roman" w:hAnsi="Times New Roman" w:cs="Times New Roman"/>
          <w:sz w:val="28"/>
          <w:szCs w:val="28"/>
        </w:rPr>
        <w:t xml:space="preserve"> mới</w:t>
      </w:r>
      <w:r w:rsidR="00710A50" w:rsidRPr="009F7625">
        <w:rPr>
          <w:rFonts w:ascii="Times New Roman" w:eastAsia="Times New Roman" w:hAnsi="Times New Roman" w:cs="Times New Roman"/>
          <w:sz w:val="28"/>
          <w:szCs w:val="28"/>
        </w:rPr>
        <w:t xml:space="preserve"> Khoản 1a </w:t>
      </w:r>
      <w:r w:rsidRPr="009F7625">
        <w:rPr>
          <w:rFonts w:ascii="Times New Roman" w:eastAsia="Times New Roman" w:hAnsi="Times New Roman" w:cs="Times New Roman"/>
          <w:sz w:val="28"/>
          <w:szCs w:val="28"/>
        </w:rPr>
        <w:t>Điều 18</w:t>
      </w:r>
      <w:r w:rsidR="00710A50" w:rsidRPr="009F7625">
        <w:rPr>
          <w:rFonts w:ascii="Times New Roman" w:eastAsia="Times New Roman" w:hAnsi="Times New Roman" w:cs="Times New Roman"/>
          <w:sz w:val="28"/>
          <w:szCs w:val="28"/>
        </w:rPr>
        <w:t xml:space="preserve"> 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w:t>
      </w:r>
      <w:r w:rsidR="00C90026" w:rsidRPr="009F7625">
        <w:rPr>
          <w:rFonts w:ascii="Times New Roman" w:eastAsia="Times New Roman" w:hAnsi="Times New Roman" w:cs="Times New Roman"/>
          <w:i/>
          <w:iCs/>
          <w:sz w:val="28"/>
          <w:szCs w:val="28"/>
        </w:rPr>
        <w:t>1a. Khi cần thiết để bảo đảm việc lưu thông, chế biến và tiêu dùng sản phẩm diễn ra bình thường, các quy định thiết lập hoặc sửa đổi MRL theo Điều 18 có thể quy định các biện pháp chuyển tiếp. Các biện pháp này cho phép sản phẩm tiếp tục được đưa ra thị trường hoặc lưu thông trong Liên minh nếu tại thời điểm sản phẩm được đưa ra thị trường hoặc được đưa vào lưu trữ sau khi sản xuất, sản phẩm đó phù hợp với MRL đang áp dụng hoặc thuộc trường hợp chưa có MRL áp dụng. Cơ sở kinh doanh thực phẩm có trách nhiệm chứng minh thời điểm sản phẩm được đưa ra thị trường hoặc được đưa vào lưu trữ sau khi sản xuất.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8</w:t>
      </w:r>
      <w:r w:rsidR="004847F6" w:rsidRPr="009F7625">
        <w:rPr>
          <w:rFonts w:ascii="Times New Roman" w:eastAsia="Times New Roman" w:hAnsi="Times New Roman" w:cs="Times New Roman"/>
          <w:sz w:val="28"/>
          <w:szCs w:val="28"/>
        </w:rPr>
        <w:t xml:space="preserve">. Thay thế điểm b, Khoản 1 </w:t>
      </w:r>
      <w:r w:rsidRPr="009F7625">
        <w:rPr>
          <w:rFonts w:ascii="Times New Roman" w:eastAsia="Times New Roman" w:hAnsi="Times New Roman" w:cs="Times New Roman"/>
          <w:sz w:val="28"/>
          <w:szCs w:val="28"/>
        </w:rPr>
        <w:t xml:space="preserve">Điều 31 bằng </w:t>
      </w:r>
      <w:r w:rsidR="004847F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4847F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3C1BEA" w:rsidRPr="009F7625">
        <w:rPr>
          <w:rFonts w:ascii="Times New Roman" w:eastAsia="Times New Roman" w:hAnsi="Times New Roman" w:cs="Times New Roman"/>
          <w:i/>
          <w:iCs/>
          <w:sz w:val="28"/>
          <w:szCs w:val="28"/>
        </w:rPr>
        <w:t>b</w:t>
      </w:r>
      <w:r w:rsidRPr="009F7625">
        <w:rPr>
          <w:rFonts w:ascii="Times New Roman" w:eastAsia="Times New Roman" w:hAnsi="Times New Roman" w:cs="Times New Roman"/>
          <w:i/>
          <w:iCs/>
          <w:sz w:val="28"/>
          <w:szCs w:val="28"/>
        </w:rPr>
        <w:t>) Mức LOQ được áp dụng trong các chương trình kiểm soát quốc gia quy định tại Điều 30 và theo chương trình kiểm soát của Cộng đồng quy định tại Điều 29</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9</w:t>
      </w:r>
      <w:r w:rsidR="004847F6" w:rsidRPr="009F7625">
        <w:rPr>
          <w:rFonts w:ascii="Times New Roman" w:eastAsia="Times New Roman" w:hAnsi="Times New Roman" w:cs="Times New Roman"/>
          <w:sz w:val="28"/>
          <w:szCs w:val="28"/>
        </w:rPr>
        <w:t xml:space="preserve">. Thay thế </w:t>
      </w:r>
      <w:r w:rsidRPr="009F7625">
        <w:rPr>
          <w:rFonts w:ascii="Times New Roman" w:eastAsia="Times New Roman" w:hAnsi="Times New Roman" w:cs="Times New Roman"/>
          <w:sz w:val="28"/>
          <w:szCs w:val="28"/>
        </w:rPr>
        <w:t xml:space="preserve">Điều 43 bằng </w:t>
      </w:r>
      <w:r w:rsidR="004847F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4847F6"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Điều 43</w:t>
      </w:r>
    </w:p>
    <w:p w:rsidR="003C1BEA" w:rsidRPr="009F7625" w:rsidRDefault="004847F6"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Ý kiến khoa học của Cơ quan (EFSA) và việc rà soát các mức MRL</w:t>
      </w:r>
    </w:p>
    <w:p w:rsidR="003C1BEA" w:rsidRPr="009F7625" w:rsidRDefault="004847F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1. Ủy ban hoặc các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viên có thể yêu cầu Cơ quan đưa ra ý kiến khoa học về bất kỳ biện pháp nào liên quan đến việc đánh giá rủi ro theo Quy định này. Ủy ban có thể quy định thời hạn cung cấp ý kiến đó.</w:t>
      </w:r>
    </w:p>
    <w:p w:rsidR="003C1BEA" w:rsidRPr="009F7625" w:rsidRDefault="004847F6"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2. Ủy ban có thể rà soát các mức dư lượng tối đa (MRL) được thiết lập theo Quy định này vào bất kỳ thời điểm nào trên cơ sở các tri thức khoa học và kỹ thuật mới, đồng thời, khi phù hợp, xem xét ý kiến khoa học được nêu tại Khoản 1</w:t>
      </w:r>
      <w:r w:rsidR="003C1BEA"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w:t>
      </w:r>
    </w:p>
    <w:p w:rsidR="00FA7197" w:rsidRPr="009F7625" w:rsidRDefault="00FA7197"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4 </w:t>
      </w:r>
    </w:p>
    <w:p w:rsidR="003C1BEA" w:rsidRPr="009F7625" w:rsidRDefault="00FA7197"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(EU) SỐ 528/2012</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(EU) số 528/2012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w:t>
      </w:r>
      <w:r w:rsidR="00FA7197" w:rsidRPr="009F7625">
        <w:rPr>
          <w:rFonts w:ascii="Times New Roman" w:eastAsia="Times New Roman" w:hAnsi="Times New Roman" w:cs="Times New Roman"/>
          <w:sz w:val="28"/>
          <w:szCs w:val="28"/>
        </w:rPr>
        <w:t xml:space="preserve">.  Khoản 1 </w:t>
      </w:r>
      <w:r w:rsidRPr="009F7625">
        <w:rPr>
          <w:rFonts w:ascii="Times New Roman" w:eastAsia="Times New Roman" w:hAnsi="Times New Roman" w:cs="Times New Roman"/>
          <w:sz w:val="28"/>
          <w:szCs w:val="28"/>
        </w:rPr>
        <w:t>Điều 4</w:t>
      </w:r>
      <w:r w:rsidR="004448B4"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được thay thế bằng </w:t>
      </w:r>
      <w:r w:rsidR="00FA7197"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FA7197" w:rsidRPr="009F7625" w:rsidRDefault="00FA7197"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 Một hoạt chất sẽ được phê duyệt nếu ít nhất một sản phẩm diệt khuẩn chứa hoạt chất đó được dự báo là đáp ứng các tiêu chí quy định tại điểm (b) khoản 1 Điều 19, có tính đến các yếu tố nêu tại Khoản 2 và Khoản 5 Điều 19.</w:t>
      </w:r>
    </w:p>
    <w:p w:rsidR="003C1BEA" w:rsidRPr="009F7625" w:rsidRDefault="00FA7197"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Việc phê duyệt sẽ có thời hạn vô thời hạn, ngoại trừ các hoạt chất được xác định là đối tượng cần thay thế (candidates for substitution) theo quy định tại Điều 10, hoặc trường hợp các điều kiện phê duyệt có quy định cụ thể về ngày hết hạn vì các lý do chính đáng theo khoản 3 Điều này. Một hoạt chất thuộc phạm vi điều chỉnh của Điều 5 chỉ có thể được phê duyệt cho giai đoạn đầu tiên không quá 5 năm</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A865F8" w:rsidRPr="009F7625">
        <w:rPr>
          <w:rFonts w:ascii="Times New Roman" w:eastAsia="Times New Roman" w:hAnsi="Times New Roman" w:cs="Times New Roman"/>
          <w:sz w:val="28"/>
          <w:szCs w:val="28"/>
        </w:rPr>
        <w:t xml:space="preserve">. Thay thế điểm h, Khoản 3 </w:t>
      </w:r>
      <w:r w:rsidRPr="009F7625">
        <w:rPr>
          <w:rFonts w:ascii="Times New Roman" w:eastAsia="Times New Roman" w:hAnsi="Times New Roman" w:cs="Times New Roman"/>
          <w:sz w:val="28"/>
          <w:szCs w:val="28"/>
        </w:rPr>
        <w:t xml:space="preserve">Điều 4 bằng </w:t>
      </w:r>
      <w:r w:rsidR="00A865F8"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16C98"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"h) ngày phê duyệt hoạt chất; trường hợp việc phê duyệt hoạt chất có thời hạn thì có thêm ngày hết hạn phê duyệt.</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316C98" w:rsidRPr="009F7625">
        <w:rPr>
          <w:rFonts w:ascii="Times New Roman" w:eastAsia="Times New Roman" w:hAnsi="Times New Roman" w:cs="Times New Roman"/>
          <w:sz w:val="28"/>
          <w:szCs w:val="28"/>
        </w:rPr>
        <w:t xml:space="preserve">. Điểm a, Khoản 1 </w:t>
      </w:r>
      <w:r w:rsidRPr="009F7625">
        <w:rPr>
          <w:rFonts w:ascii="Times New Roman" w:eastAsia="Times New Roman" w:hAnsi="Times New Roman" w:cs="Times New Roman"/>
          <w:sz w:val="28"/>
          <w:szCs w:val="28"/>
        </w:rPr>
        <w:t xml:space="preserve">Điều 9 được thay thế bằng </w:t>
      </w:r>
      <w:r w:rsidR="00316C98"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316C98" w:rsidRPr="009F7625">
        <w:rPr>
          <w:rFonts w:ascii="Times New Roman" w:eastAsia="Times New Roman" w:hAnsi="Times New Roman" w:cs="Times New Roman"/>
          <w:i/>
          <w:iCs/>
          <w:sz w:val="28"/>
          <w:szCs w:val="28"/>
        </w:rPr>
        <w:t xml:space="preserve">a) Ban hành Quy định thực thi </w:t>
      </w:r>
      <w:r w:rsidR="00400C68" w:rsidRPr="009F7625">
        <w:rPr>
          <w:rFonts w:ascii="Times New Roman" w:eastAsia="Times New Roman" w:hAnsi="Times New Roman" w:cs="Times New Roman"/>
          <w:i/>
          <w:iCs/>
          <w:sz w:val="28"/>
          <w:szCs w:val="28"/>
        </w:rPr>
        <w:t xml:space="preserve">việc </w:t>
      </w:r>
      <w:r w:rsidR="00316C98" w:rsidRPr="009F7625">
        <w:rPr>
          <w:rFonts w:ascii="Times New Roman" w:eastAsia="Times New Roman" w:hAnsi="Times New Roman" w:cs="Times New Roman"/>
          <w:i/>
          <w:iCs/>
          <w:sz w:val="28"/>
          <w:szCs w:val="28"/>
        </w:rPr>
        <w:t>phê duyệt hoạt chất và quy định các điều kiện phê duyệt, trong đó bao gồm ngày phê duyệt hoạt chất; nếu việc phê duyệt có thời hạn thì quy định thêm ngày hết hạn phê duyệt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4</w:t>
      </w:r>
      <w:r w:rsidR="00400C68" w:rsidRPr="009F7625">
        <w:rPr>
          <w:rFonts w:ascii="Times New Roman" w:eastAsia="Times New Roman" w:hAnsi="Times New Roman" w:cs="Times New Roman"/>
          <w:sz w:val="28"/>
          <w:szCs w:val="28"/>
        </w:rPr>
        <w:t xml:space="preserve">. Thay thế Khoản 4 </w:t>
      </w:r>
      <w:r w:rsidRPr="009F7625">
        <w:rPr>
          <w:rFonts w:ascii="Times New Roman" w:eastAsia="Times New Roman" w:hAnsi="Times New Roman" w:cs="Times New Roman"/>
          <w:sz w:val="28"/>
          <w:szCs w:val="28"/>
        </w:rPr>
        <w:t xml:space="preserve">Điều 10 bằng </w:t>
      </w:r>
      <w:r w:rsidR="00400C68"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 xml:space="preserve">"4. </w:t>
      </w:r>
      <w:r w:rsidR="00080EF7" w:rsidRPr="009F7625">
        <w:rPr>
          <w:rFonts w:ascii="Times New Roman" w:eastAsia="Times New Roman" w:hAnsi="Times New Roman" w:cs="Times New Roman"/>
          <w:i/>
          <w:iCs/>
          <w:sz w:val="28"/>
          <w:szCs w:val="28"/>
        </w:rPr>
        <w:t>Thời hạn phê duyệt đối với hoạt chất được xác định là đối tượng thay thế và thời hạn của mỗi lần gia hạn phê duyệt hoạt chất đó không quá bảy năm</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5</w:t>
      </w:r>
      <w:r w:rsidR="0082357F" w:rsidRPr="009F7625">
        <w:rPr>
          <w:rFonts w:ascii="Times New Roman" w:eastAsia="Times New Roman" w:hAnsi="Times New Roman" w:cs="Times New Roman"/>
          <w:sz w:val="28"/>
          <w:szCs w:val="28"/>
        </w:rPr>
        <w:t xml:space="preserve">. </w:t>
      </w:r>
      <w:r w:rsidR="00EE549C" w:rsidRPr="009F7625">
        <w:rPr>
          <w:rFonts w:ascii="Times New Roman" w:eastAsia="Times New Roman" w:hAnsi="Times New Roman" w:cs="Times New Roman"/>
          <w:sz w:val="28"/>
          <w:szCs w:val="28"/>
        </w:rPr>
        <w:t xml:space="preserve">Khoản 3 </w:t>
      </w:r>
      <w:r w:rsidRPr="009F7625">
        <w:rPr>
          <w:rFonts w:ascii="Times New Roman" w:eastAsia="Times New Roman" w:hAnsi="Times New Roman" w:cs="Times New Roman"/>
          <w:sz w:val="28"/>
          <w:szCs w:val="28"/>
        </w:rPr>
        <w:t>Điều 12</w:t>
      </w:r>
      <w:r w:rsidR="00510C5A"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 xml:space="preserve">được thay thế bằng </w:t>
      </w:r>
      <w:r w:rsidR="00EE549C"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"3. </w:t>
      </w:r>
      <w:r w:rsidR="006C1A9E" w:rsidRPr="009F7625">
        <w:rPr>
          <w:rFonts w:ascii="Times New Roman" w:eastAsia="Times New Roman" w:hAnsi="Times New Roman" w:cs="Times New Roman"/>
          <w:i/>
          <w:iCs/>
          <w:sz w:val="28"/>
          <w:szCs w:val="28"/>
        </w:rPr>
        <w:t>Việc gia hạn phê duyệt hoạt chất có hiệu lực không xác định thời hạn đối với tất cả các loại sản phẩm mà việc phê duyệt đó áp dụng, trừ trường hợp hoạt chất được xác định là đối tượng thay thế theo Điều 10 hoặc văn bản thực thi được ban hành theo điểm a khoản 4 Điều 14 quy định thời hạn ngắn hơn đối với việc gia hạn phê duyệt đó.</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6</w:t>
      </w:r>
      <w:r w:rsidR="00847B53" w:rsidRPr="009F7625">
        <w:rPr>
          <w:rFonts w:ascii="Times New Roman" w:eastAsia="Times New Roman" w:hAnsi="Times New Roman" w:cs="Times New Roman"/>
          <w:sz w:val="28"/>
          <w:szCs w:val="28"/>
        </w:rPr>
        <w:t xml:space="preserve">. Khoản 1 </w:t>
      </w:r>
      <w:r w:rsidRPr="009F7625">
        <w:rPr>
          <w:rFonts w:ascii="Times New Roman" w:eastAsia="Times New Roman" w:hAnsi="Times New Roman" w:cs="Times New Roman"/>
          <w:sz w:val="28"/>
          <w:szCs w:val="28"/>
        </w:rPr>
        <w:t>Điều 13</w:t>
      </w:r>
      <w:r w:rsidR="008A10B9" w:rsidRPr="009F7625">
        <w:rPr>
          <w:rFonts w:ascii="Times New Roman" w:eastAsia="Times New Roman" w:hAnsi="Times New Roman" w:cs="Times New Roman"/>
          <w:sz w:val="28"/>
          <w:szCs w:val="28"/>
        </w:rPr>
        <w:t xml:space="preserve"> đ</w:t>
      </w:r>
      <w:r w:rsidRPr="009F7625">
        <w:rPr>
          <w:rFonts w:ascii="Times New Roman" w:eastAsia="Times New Roman" w:hAnsi="Times New Roman" w:cs="Times New Roman"/>
          <w:sz w:val="28"/>
          <w:szCs w:val="28"/>
        </w:rPr>
        <w:t xml:space="preserve">ược thay thế bằng </w:t>
      </w:r>
      <w:r w:rsidR="008A10B9"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"1. </w:t>
      </w:r>
      <w:r w:rsidR="008A10B9" w:rsidRPr="009F7625">
        <w:rPr>
          <w:rFonts w:ascii="Times New Roman" w:eastAsia="Times New Roman" w:hAnsi="Times New Roman" w:cs="Times New Roman"/>
          <w:i/>
          <w:iCs/>
          <w:sz w:val="28"/>
          <w:szCs w:val="28"/>
        </w:rPr>
        <w:t>Tổ chức, cá nhân có nhu cầu gia hạn phê duyệt hoạt chất mà việc phê duyệt có quy định ngày hết hạn đối với một hoặc nhiều loại sản phẩm phải nộp hồ sơ đề nghị gia hạn cho Cơ quan ít nhất 550 ngày trước ngày hết hạn phê duyệt. Trường hợp các loại sản phẩm có ngày hết hạn phê duyệt khác nhau thì hồ sơ phải được nộp ít nhất 550 ngày trước ngày hết hạn sớm nhất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7</w:t>
      </w:r>
      <w:r w:rsidR="00AC1381" w:rsidRPr="009F7625">
        <w:rPr>
          <w:rFonts w:ascii="Times New Roman" w:eastAsia="Times New Roman" w:hAnsi="Times New Roman" w:cs="Times New Roman"/>
          <w:sz w:val="28"/>
          <w:szCs w:val="28"/>
        </w:rPr>
        <w:t xml:space="preserve">. Bổ sung mới </w:t>
      </w:r>
      <w:r w:rsidRPr="009F7625">
        <w:rPr>
          <w:rFonts w:ascii="Times New Roman" w:eastAsia="Times New Roman" w:hAnsi="Times New Roman" w:cs="Times New Roman"/>
          <w:sz w:val="28"/>
          <w:szCs w:val="28"/>
        </w:rPr>
        <w:t xml:space="preserve">Điều 14a </w:t>
      </w:r>
      <w:r w:rsidR="00AC1381" w:rsidRPr="009F7625">
        <w:rPr>
          <w:rFonts w:ascii="Times New Roman" w:eastAsia="Times New Roman" w:hAnsi="Times New Roman" w:cs="Times New Roman"/>
          <w:sz w:val="28"/>
          <w:szCs w:val="28"/>
        </w:rPr>
        <w:t>như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Điều 14a</w:t>
      </w:r>
    </w:p>
    <w:p w:rsidR="00AC1381" w:rsidRPr="009F7625" w:rsidRDefault="00AC1381" w:rsidP="00603B23">
      <w:pPr>
        <w:shd w:val="clear" w:color="auto" w:fill="FFFFFF"/>
        <w:spacing w:after="0" w:line="360" w:lineRule="atLeast"/>
        <w:ind w:firstLine="709"/>
        <w:jc w:val="center"/>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Gia hạn phê duyệt đối với hoạt chất được phê duyệt </w:t>
      </w:r>
    </w:p>
    <w:p w:rsidR="00AC1381" w:rsidRPr="009F7625" w:rsidRDefault="00AC1381"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không xác định thời hạn</w:t>
      </w:r>
    </w:p>
    <w:p w:rsidR="003C1BEA" w:rsidRPr="009F7625" w:rsidRDefault="00AC1381"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 Ủy ban có thể thông qua văn bản thực thi theo thủ tục kiểm tra quy định tại Khoản 3 Điều 82 để xác định các hoạt chất đang được phê duyệt không xác định thời hạn nhưng phải thực hiện thủ tục gia hạn phê duyệt. Văn bản thực thi này liệt kê các hoạt chất và các loại sản phẩm liên quan, đồng thời ấn định ngày hết hạn của các phê duyệt hiện hành nhằm phục vụ việc đánh giá hồ sơ và ban hành quyết định về việc gia hạn phê duyệt</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Điều 13 và Điều 14 được áp dụng tương tự </w:t>
      </w:r>
      <w:r w:rsidR="00AC1381" w:rsidRPr="009F7625">
        <w:rPr>
          <w:rFonts w:ascii="Times New Roman" w:eastAsia="Times New Roman" w:hAnsi="Times New Roman" w:cs="Times New Roman"/>
          <w:i/>
          <w:iCs/>
          <w:sz w:val="28"/>
          <w:szCs w:val="28"/>
        </w:rPr>
        <w:t xml:space="preserve">đối với </w:t>
      </w:r>
      <w:r w:rsidRPr="009F7625">
        <w:rPr>
          <w:rFonts w:ascii="Times New Roman" w:eastAsia="Times New Roman" w:hAnsi="Times New Roman" w:cs="Times New Roman"/>
          <w:i/>
          <w:iCs/>
          <w:sz w:val="28"/>
          <w:szCs w:val="28"/>
        </w:rPr>
        <w:t xml:space="preserve">việc nộp, </w:t>
      </w:r>
      <w:r w:rsidR="00AC1381" w:rsidRPr="009F7625">
        <w:rPr>
          <w:rFonts w:ascii="Times New Roman" w:eastAsia="Times New Roman" w:hAnsi="Times New Roman" w:cs="Times New Roman"/>
          <w:i/>
          <w:iCs/>
          <w:sz w:val="28"/>
          <w:szCs w:val="28"/>
        </w:rPr>
        <w:t xml:space="preserve">tiếp </w:t>
      </w:r>
      <w:r w:rsidRPr="009F7625">
        <w:rPr>
          <w:rFonts w:ascii="Times New Roman" w:eastAsia="Times New Roman" w:hAnsi="Times New Roman" w:cs="Times New Roman"/>
          <w:i/>
          <w:iCs/>
          <w:sz w:val="28"/>
          <w:szCs w:val="28"/>
        </w:rPr>
        <w:t xml:space="preserve">nhận và đánh giá </w:t>
      </w:r>
      <w:r w:rsidR="00AC1381" w:rsidRPr="009F7625">
        <w:rPr>
          <w:rFonts w:ascii="Times New Roman" w:eastAsia="Times New Roman" w:hAnsi="Times New Roman" w:cs="Times New Roman"/>
          <w:i/>
          <w:iCs/>
          <w:sz w:val="28"/>
          <w:szCs w:val="28"/>
        </w:rPr>
        <w:t>hồ sơ</w:t>
      </w:r>
      <w:r w:rsidRPr="009F7625">
        <w:rPr>
          <w:rFonts w:ascii="Times New Roman" w:eastAsia="Times New Roman" w:hAnsi="Times New Roman" w:cs="Times New Roman"/>
          <w:i/>
          <w:iCs/>
          <w:sz w:val="28"/>
          <w:szCs w:val="28"/>
        </w:rPr>
        <w:t>.</w:t>
      </w:r>
    </w:p>
    <w:p w:rsidR="003C1BEA" w:rsidRPr="009F7625" w:rsidRDefault="00AC1381"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2. Việc xác định các hoạt chất liên quan phải xem xét, bên cạnh các yếu tố khác, các yêu cầu về dữ liệu mới hoặc cập nhật, các tài liệu hướng dẫn có liên quan, các dấu hiệu lo ngại về an toàn đối với sức khỏe con người, động vật hoặc môi trường, kiến thức khoa học hoặc kỹ thuật mới và dữ liệu giám sát hiện có; đồng thời có thể xem xét các yêu cầu từ các quốc gia thành viên.</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8</w:t>
      </w:r>
      <w:r w:rsidR="00BD0749" w:rsidRPr="009F7625">
        <w:rPr>
          <w:rFonts w:ascii="Times New Roman" w:eastAsia="Times New Roman" w:hAnsi="Times New Roman" w:cs="Times New Roman"/>
          <w:sz w:val="28"/>
          <w:szCs w:val="28"/>
        </w:rPr>
        <w:t>. Bổ sung mới</w:t>
      </w:r>
      <w:r w:rsidRPr="009F7625">
        <w:rPr>
          <w:rFonts w:ascii="Times New Roman" w:eastAsia="Times New Roman" w:hAnsi="Times New Roman" w:cs="Times New Roman"/>
          <w:sz w:val="28"/>
          <w:szCs w:val="28"/>
        </w:rPr>
        <w:t xml:space="preserve"> Điều 15a </w:t>
      </w:r>
      <w:r w:rsidR="00BD0749" w:rsidRPr="009F7625">
        <w:rPr>
          <w:rFonts w:ascii="Times New Roman" w:eastAsia="Times New Roman" w:hAnsi="Times New Roman" w:cs="Times New Roman"/>
          <w:sz w:val="28"/>
          <w:szCs w:val="28"/>
        </w:rPr>
        <w:t>như sau</w:t>
      </w:r>
      <w:r w:rsidRPr="009F7625">
        <w:rPr>
          <w:rFonts w:ascii="Times New Roman" w:eastAsia="Times New Roman" w:hAnsi="Times New Roman" w:cs="Times New Roman"/>
          <w:sz w:val="28"/>
          <w:szCs w:val="28"/>
        </w:rPr>
        <w:t>:</w:t>
      </w:r>
    </w:p>
    <w:p w:rsidR="003C1BEA" w:rsidRPr="009F7625" w:rsidRDefault="00BD0749" w:rsidP="00603B23">
      <w:pPr>
        <w:shd w:val="clear" w:color="auto" w:fill="FFFFFF"/>
        <w:spacing w:before="120"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Điều 15a</w:t>
      </w:r>
    </w:p>
    <w:p w:rsidR="003C1BEA" w:rsidRPr="009F7625" w:rsidRDefault="003C1BEA" w:rsidP="00603B23">
      <w:pPr>
        <w:shd w:val="clear" w:color="auto" w:fill="FFFFFF"/>
        <w:spacing w:before="120"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 xml:space="preserve">Thời hạn phê duyệt của các hoạt chất được phê duyệt </w:t>
      </w:r>
      <w:r w:rsidR="00BD0749" w:rsidRPr="009F7625">
        <w:rPr>
          <w:rFonts w:ascii="Times New Roman" w:eastAsia="Times New Roman" w:hAnsi="Times New Roman" w:cs="Times New Roman"/>
          <w:b/>
          <w:bCs/>
          <w:i/>
          <w:iCs/>
          <w:sz w:val="28"/>
          <w:szCs w:val="28"/>
        </w:rPr>
        <w:t xml:space="preserve">trước </w:t>
      </w:r>
      <w:r w:rsidRPr="009F7625">
        <w:rPr>
          <w:rFonts w:ascii="Times New Roman" w:eastAsia="Times New Roman" w:hAnsi="Times New Roman" w:cs="Times New Roman"/>
          <w:b/>
          <w:bCs/>
          <w:i/>
          <w:iCs/>
          <w:sz w:val="28"/>
          <w:szCs w:val="28"/>
        </w:rPr>
        <w:t>ngày [vui lòng chèn ngày: ngày Quy định này có hiệu lực]</w:t>
      </w:r>
    </w:p>
    <w:p w:rsidR="003C1BEA" w:rsidRPr="009F7625" w:rsidRDefault="00BD0749"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Đối với tất cả các hoạt chất đã được phê duyệt theo Quy định (EU) số 528/2012 muộn nhất là vào ngày [vui lòng chèn ngày: ngày Quy định này có hiệu lực] cho một hoặc nhiều loại sản phẩm, việc phê duyệt sẽ được coi là vô thời hạn đối với các loại sản phẩm liên quan, ngoại trừ các trường hợp sau</w:t>
      </w:r>
      <w:r w:rsidR="003C1BEA" w:rsidRPr="009F7625">
        <w:rPr>
          <w:rFonts w:ascii="Times New Roman" w:eastAsia="Times New Roman" w:hAnsi="Times New Roman" w:cs="Times New Roman"/>
          <w:i/>
          <w:iCs/>
          <w:sz w:val="28"/>
          <w:szCs w:val="28"/>
        </w:rPr>
        <w:t>:</w:t>
      </w:r>
    </w:p>
    <w:p w:rsidR="00BD0749"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BD0749" w:rsidRPr="009F7625">
        <w:rPr>
          <w:rFonts w:ascii="Times New Roman" w:eastAsia="Times New Roman" w:hAnsi="Times New Roman" w:cs="Times New Roman"/>
          <w:i/>
          <w:iCs/>
          <w:sz w:val="28"/>
          <w:szCs w:val="28"/>
        </w:rPr>
        <w:t>Các hoạt chất được xác định là đáp ứng các tiêu chí quy định tại khoản 1 Điều 5 hoặc Điều 10</w:t>
      </w:r>
      <w:r w:rsidRPr="009F7625">
        <w:rPr>
          <w:rFonts w:ascii="Times New Roman" w:eastAsia="Times New Roman" w:hAnsi="Times New Roman" w:cs="Times New Roman"/>
          <w:i/>
          <w:iCs/>
          <w:sz w:val="28"/>
          <w:szCs w:val="28"/>
        </w:rPr>
        <w:t>;</w:t>
      </w:r>
    </w:p>
    <w:p w:rsidR="00BD0749"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BD0749" w:rsidRPr="009F7625">
        <w:rPr>
          <w:rFonts w:ascii="Times New Roman" w:eastAsia="Times New Roman" w:hAnsi="Times New Roman" w:cs="Times New Roman"/>
          <w:i/>
          <w:iCs/>
          <w:sz w:val="28"/>
          <w:szCs w:val="28"/>
        </w:rPr>
        <w:t>Các hoạt chất mà hồ sơ đề nghị gia hạn đã được nộp trong thời hạn quy định tại khoản 1 Điều 13 trước ngày [đề nghị chèn: ngày có hiệu lực của Quy định này].</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 </w:t>
      </w:r>
      <w:r w:rsidR="00BD0749" w:rsidRPr="009F7625">
        <w:rPr>
          <w:rFonts w:ascii="Times New Roman" w:eastAsia="Times New Roman" w:hAnsi="Times New Roman" w:cs="Times New Roman"/>
          <w:i/>
          <w:iCs/>
          <w:sz w:val="28"/>
          <w:szCs w:val="28"/>
        </w:rPr>
        <w:t>Các hoạt chất mà không có hồ sơ đề nghị gia hạn được nộp trong thời hạn quy định tại khoản 1 Điều 13 trước ngày [đề nghị chèn: ngày có hiệu lực của Quy định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9</w:t>
      </w:r>
      <w:r w:rsidR="00FA20A4" w:rsidRPr="009F7625">
        <w:rPr>
          <w:rFonts w:ascii="Times New Roman" w:eastAsia="Times New Roman" w:hAnsi="Times New Roman" w:cs="Times New Roman"/>
          <w:sz w:val="28"/>
          <w:szCs w:val="28"/>
        </w:rPr>
        <w:t xml:space="preserve">. Thay thế Khoản 5 </w:t>
      </w:r>
      <w:r w:rsidRPr="009F7625">
        <w:rPr>
          <w:rFonts w:ascii="Times New Roman" w:eastAsia="Times New Roman" w:hAnsi="Times New Roman" w:cs="Times New Roman"/>
          <w:sz w:val="28"/>
          <w:szCs w:val="28"/>
        </w:rPr>
        <w:t xml:space="preserve">Điều 44 bằng </w:t>
      </w:r>
      <w:r w:rsidR="00FA20A4"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FA20A4" w:rsidRPr="009F7625">
        <w:rPr>
          <w:rFonts w:ascii="Times New Roman" w:eastAsia="Times New Roman" w:hAnsi="Times New Roman" w:cs="Times New Roman"/>
          <w:i/>
          <w:iCs/>
          <w:sz w:val="28"/>
          <w:szCs w:val="28"/>
        </w:rPr>
        <w:t>5. Sau khi nhận được ý kiến của Cơ quan, Ủy ban sẽ thông qua văn bản thực thi cấp phép của Liên minh đối với sản phẩm diệt khuẩn hoặc văn bản thực thi nêu rõ rằng việc cấp phép của Liên minh đối với sản phẩm diệt khuẩn đó không được cấp. Các văn bản thực thi này được thông qua theo thủ tục kiểm tra quy định tại Khoản 3 Điều 82</w:t>
      </w:r>
      <w:r w:rsidRPr="009F7625">
        <w:rPr>
          <w:rFonts w:ascii="Times New Roman" w:eastAsia="Times New Roman" w:hAnsi="Times New Roman" w:cs="Times New Roman"/>
          <w:i/>
          <w:iCs/>
          <w:sz w:val="28"/>
          <w:szCs w:val="28"/>
        </w:rPr>
        <w:t>.</w:t>
      </w:r>
    </w:p>
    <w:p w:rsidR="003C1BEA" w:rsidRPr="009F7625" w:rsidRDefault="00D27695"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Tóm tắt các quyết định của Ủy ban được công bố trên Công báo của Liên minh châu Âu, trong đó nêu rõ số quyết định, tính chất của quyết định, tên sản phẩm diệt khuẩn, các hoạt chất có trong sản phẩm diệt khuẩn, các loại sản phẩm, số giấy phép, chủ sở hữu giấy phép và ngày hết hạn của giấy phép</w:t>
      </w:r>
      <w:r w:rsidR="003C1BEA" w:rsidRPr="009F7625">
        <w:rPr>
          <w:rFonts w:ascii="Times New Roman" w:eastAsia="Times New Roman" w:hAnsi="Times New Roman" w:cs="Times New Roman"/>
          <w:i/>
          <w:iCs/>
          <w:sz w:val="28"/>
          <w:szCs w:val="28"/>
        </w:rPr>
        <w:t>.</w:t>
      </w:r>
    </w:p>
    <w:p w:rsidR="003C1BEA" w:rsidRPr="009F7625" w:rsidRDefault="00D27695"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Theo đề nghị của một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 xml:space="preserve">viên, Ủy ban sẽ quyết định điều chỉnh một số điều kiện của giấy phép của Liên minh áp dụng riêng đối với lãnh thổ của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 xml:space="preserve">viên đó hoặc quyết định rằng giấy phép của Liên minh không áp dụng trên lãnh thổ của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viên đó, với điều kiện đề nghị đó có thể được chứng minh dựa trên một hoặc nhiều căn cứ quy định tại Khoản 1 Điều 37</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10</w:t>
      </w:r>
      <w:r w:rsidR="00D27695" w:rsidRPr="009F7625">
        <w:rPr>
          <w:rFonts w:ascii="Times New Roman" w:eastAsia="Times New Roman" w:hAnsi="Times New Roman" w:cs="Times New Roman"/>
          <w:sz w:val="28"/>
          <w:szCs w:val="28"/>
        </w:rPr>
        <w:t>.</w:t>
      </w:r>
      <w:r w:rsidR="002D315B" w:rsidRPr="009F7625">
        <w:rPr>
          <w:rFonts w:ascii="Times New Roman" w:eastAsia="Times New Roman" w:hAnsi="Times New Roman" w:cs="Times New Roman"/>
          <w:sz w:val="28"/>
          <w:szCs w:val="28"/>
        </w:rPr>
        <w:t>Thay thế đoạn thứ nhất, Khoản 4</w:t>
      </w:r>
      <w:r w:rsidRPr="009F7625">
        <w:rPr>
          <w:rFonts w:ascii="Times New Roman" w:eastAsia="Times New Roman" w:hAnsi="Times New Roman" w:cs="Times New Roman"/>
          <w:sz w:val="28"/>
          <w:szCs w:val="28"/>
        </w:rPr>
        <w:t xml:space="preserve">Điều 46 bằng </w:t>
      </w:r>
      <w:r w:rsidR="002D315B"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2D315B" w:rsidRPr="009F7625">
        <w:rPr>
          <w:rFonts w:ascii="Times New Roman" w:eastAsia="Times New Roman" w:hAnsi="Times New Roman" w:cs="Times New Roman"/>
          <w:i/>
          <w:iCs/>
          <w:sz w:val="28"/>
          <w:szCs w:val="28"/>
        </w:rPr>
        <w:t>Sau khi nhận được ý kiến của Cơ quan, Ủy ban sẽ thông qua văn bản thực thi gia hạn giấy phép của Liên minh hoặc từ chối gia hạn giấy phép của Liên minh. Các văn bản thực thi này được thông qua theo thủ tục kiểm tra quy định tại Khoản 3 Điều 82.</w:t>
      </w:r>
      <w:r w:rsidRPr="009F7625">
        <w:rPr>
          <w:rFonts w:ascii="Times New Roman" w:eastAsia="Times New Roman" w:hAnsi="Times New Roman" w:cs="Times New Roman"/>
          <w:i/>
          <w:iCs/>
          <w:sz w:val="28"/>
          <w:szCs w:val="28"/>
        </w:rPr>
        <w:t>"</w:t>
      </w:r>
    </w:p>
    <w:p w:rsidR="00142B2F" w:rsidRPr="009F7625" w:rsidRDefault="00142B2F"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5 SỬA ĐỔI </w:t>
      </w:r>
    </w:p>
    <w:p w:rsidR="003C1BEA" w:rsidRPr="009F7625" w:rsidRDefault="00142B2F"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QUY ĐỊNH (EC) SỐ 1829/2003</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số 1829/2003 được sửa đổi như sau:</w:t>
      </w:r>
    </w:p>
    <w:p w:rsidR="003C1BEA" w:rsidRPr="009F7625" w:rsidRDefault="0002554D"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1. Bổ sung nội dung tại điểm 10, Điều </w:t>
      </w:r>
      <w:r w:rsidR="003C1BEA" w:rsidRPr="009F7625">
        <w:rPr>
          <w:rFonts w:ascii="Times New Roman" w:eastAsia="Times New Roman" w:hAnsi="Times New Roman" w:cs="Times New Roman"/>
          <w:sz w:val="28"/>
          <w:szCs w:val="28"/>
        </w:rPr>
        <w:t>2</w:t>
      </w:r>
      <w:r w:rsidRPr="009F7625">
        <w:rPr>
          <w:rFonts w:ascii="Times New Roman" w:eastAsia="Times New Roman" w:hAnsi="Times New Roman" w:cs="Times New Roman"/>
          <w:sz w:val="28"/>
          <w:szCs w:val="28"/>
        </w:rPr>
        <w:t>, cụ thể như sau</w:t>
      </w:r>
      <w:r w:rsidR="003C1BEA"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w:t>
      </w:r>
      <w:r w:rsidR="0002554D" w:rsidRPr="009F7625">
        <w:rPr>
          <w:rFonts w:ascii="Times New Roman" w:eastAsia="Times New Roman" w:hAnsi="Times New Roman" w:cs="Times New Roman"/>
          <w:i/>
          <w:iCs/>
          <w:sz w:val="28"/>
          <w:szCs w:val="28"/>
        </w:rPr>
        <w:t>Thực phẩm và thức ăn chăn nuôi được sản xuất với việc sử dụng các vi sinh vật biến đổi gen làm chủng sản xuất theo định nghĩa quy định tại điểm b Điều 2 của Chỉ thị 2009/41/EC, ngoại trừ các tế bào động vật và tế bào thực vật nuôi cấy, không được coi là thực phẩm và thức ăn chăn nuôi ‘được sản xuất từ sinh vật biến đổi gen (GMO)’ trong trường hợp chúng không chứa các vi sinh vật đó và, nếu có chứa dư lượng của chúng, thì các dư lượng này chỉ giới hạn ở các tế bào không còn khả năng sống, sự hiện diện của chúng đã được giảm thiểu thông qua các biện pháp hợp lý nhằm loại bỏ theo thực hành sản xuất tốt và chúng không có tác động công nghệ đối với thực phẩm hoặc thức ăn chăn nuôi.</w:t>
      </w:r>
      <w:r w:rsidRPr="009F7625">
        <w:rPr>
          <w:rFonts w:ascii="Times New Roman" w:eastAsia="Times New Roman" w:hAnsi="Times New Roman" w:cs="Times New Roman"/>
          <w:i/>
          <w:iCs/>
          <w:sz w:val="28"/>
          <w:szCs w:val="28"/>
        </w:rPr>
        <w:t>".</w:t>
      </w:r>
    </w:p>
    <w:p w:rsidR="00603B23" w:rsidRPr="009F7625" w:rsidRDefault="00603B23" w:rsidP="00603B23">
      <w:pPr>
        <w:pStyle w:val="ds-markdown-paragraph"/>
        <w:shd w:val="clear" w:color="auto" w:fill="FFFFFF"/>
        <w:spacing w:before="0" w:beforeAutospacing="0" w:after="0" w:afterAutospacing="0" w:line="360" w:lineRule="atLeast"/>
        <w:ind w:firstLine="709"/>
        <w:jc w:val="center"/>
        <w:rPr>
          <w:rStyle w:val="Strong"/>
          <w:sz w:val="28"/>
          <w:szCs w:val="28"/>
        </w:rPr>
      </w:pPr>
    </w:p>
    <w:p w:rsidR="00603B23" w:rsidRPr="009F7625" w:rsidRDefault="00603B23" w:rsidP="00603B23">
      <w:pPr>
        <w:pStyle w:val="ds-markdown-paragraph"/>
        <w:shd w:val="clear" w:color="auto" w:fill="FFFFFF"/>
        <w:spacing w:before="0" w:beforeAutospacing="0" w:after="0" w:afterAutospacing="0" w:line="360" w:lineRule="atLeast"/>
        <w:ind w:firstLine="709"/>
        <w:jc w:val="center"/>
        <w:rPr>
          <w:rStyle w:val="Strong"/>
          <w:sz w:val="28"/>
          <w:szCs w:val="28"/>
        </w:rPr>
      </w:pPr>
    </w:p>
    <w:p w:rsidR="00603B23" w:rsidRPr="009F7625" w:rsidRDefault="00603B23" w:rsidP="00603B23">
      <w:pPr>
        <w:pStyle w:val="ds-markdown-paragraph"/>
        <w:shd w:val="clear" w:color="auto" w:fill="FFFFFF"/>
        <w:spacing w:before="0" w:beforeAutospacing="0" w:after="0" w:afterAutospacing="0" w:line="360" w:lineRule="atLeast"/>
        <w:ind w:firstLine="709"/>
        <w:jc w:val="center"/>
        <w:rPr>
          <w:rStyle w:val="Strong"/>
          <w:sz w:val="28"/>
          <w:szCs w:val="28"/>
        </w:rPr>
      </w:pPr>
    </w:p>
    <w:p w:rsidR="0002554D" w:rsidRPr="009F7625" w:rsidRDefault="0002554D" w:rsidP="00603B23">
      <w:pPr>
        <w:pStyle w:val="ds-markdown-paragraph"/>
        <w:shd w:val="clear" w:color="auto" w:fill="FFFFFF"/>
        <w:spacing w:before="0" w:beforeAutospacing="0" w:after="0" w:afterAutospacing="0" w:line="360" w:lineRule="atLeast"/>
        <w:ind w:firstLine="709"/>
        <w:jc w:val="center"/>
        <w:rPr>
          <w:rStyle w:val="Strong"/>
          <w:sz w:val="28"/>
          <w:szCs w:val="28"/>
        </w:rPr>
      </w:pPr>
      <w:r w:rsidRPr="009F7625">
        <w:rPr>
          <w:rStyle w:val="Strong"/>
          <w:sz w:val="28"/>
          <w:szCs w:val="28"/>
        </w:rPr>
        <w:t xml:space="preserve">ĐIỀU 6 </w:t>
      </w:r>
    </w:p>
    <w:p w:rsidR="003C1BEA" w:rsidRPr="009F7625" w:rsidRDefault="0002554D" w:rsidP="00603B23">
      <w:pPr>
        <w:pStyle w:val="ds-markdown-paragraph"/>
        <w:shd w:val="clear" w:color="auto" w:fill="FFFFFF"/>
        <w:spacing w:before="0" w:beforeAutospacing="0" w:after="0" w:afterAutospacing="0" w:line="360" w:lineRule="atLeast"/>
        <w:ind w:firstLine="709"/>
        <w:jc w:val="center"/>
        <w:rPr>
          <w:sz w:val="28"/>
          <w:szCs w:val="28"/>
        </w:rPr>
      </w:pPr>
      <w:r w:rsidRPr="009F7625">
        <w:rPr>
          <w:rStyle w:val="Strong"/>
          <w:sz w:val="28"/>
          <w:szCs w:val="28"/>
        </w:rPr>
        <w:t>SỬA ĐỔI QUY ĐỊNH (EC) SỐ 1831/2003</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Quy định (EC) số 1831/2003 được sửa đổi như 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1</w:t>
      </w:r>
      <w:r w:rsidR="0002554D" w:rsidRPr="009F7625">
        <w:rPr>
          <w:sz w:val="28"/>
          <w:szCs w:val="28"/>
        </w:rPr>
        <w:t xml:space="preserve">. Bổ sung nội dung tại Khoản 2 </w:t>
      </w:r>
      <w:r w:rsidRPr="009F7625">
        <w:rPr>
          <w:sz w:val="28"/>
          <w:szCs w:val="28"/>
        </w:rPr>
        <w:t xml:space="preserve">Điều 2, </w:t>
      </w:r>
      <w:r w:rsidR="0002554D" w:rsidRPr="009F7625">
        <w:rPr>
          <w:sz w:val="28"/>
          <w:szCs w:val="28"/>
        </w:rPr>
        <w:t>cụ thể như sau</w:t>
      </w:r>
      <w:r w:rsidRPr="009F7625">
        <w:rPr>
          <w:sz w:val="28"/>
          <w:szCs w:val="28"/>
        </w:rPr>
        <w:t>:</w:t>
      </w:r>
    </w:p>
    <w:p w:rsidR="0002554D"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"o) </w:t>
      </w:r>
      <w:r w:rsidR="0002554D" w:rsidRPr="009F7625">
        <w:rPr>
          <w:i/>
          <w:iCs/>
          <w:sz w:val="28"/>
          <w:szCs w:val="28"/>
        </w:rPr>
        <w:t xml:space="preserve">'Nhãn' </w:t>
      </w:r>
      <w:r w:rsidRPr="009F7625">
        <w:rPr>
          <w:i/>
          <w:iCs/>
          <w:sz w:val="28"/>
          <w:szCs w:val="28"/>
        </w:rPr>
        <w:t xml:space="preserve">(label) </w:t>
      </w:r>
      <w:r w:rsidR="0002554D" w:rsidRPr="009F7625">
        <w:rPr>
          <w:i/>
          <w:iCs/>
          <w:sz w:val="28"/>
          <w:szCs w:val="28"/>
        </w:rPr>
        <w:t>là bất kỳ thẻ, nhãn hiệu, dấu hiệu, hình ảnh hoặc thông tin mô tả khác được viết, in, dập khuôn, đánh dấu, dập nổi, in chìm trên hoặc gắn vào bao bì hoặc vật chứa của phụ gia thức ăn chăn nuôi hoặc hỗn hợp trộn sẵn.</w:t>
      </w:r>
      <w:r w:rsidRPr="009F7625">
        <w:rPr>
          <w:i/>
          <w:iCs/>
          <w:sz w:val="28"/>
          <w:szCs w:val="28"/>
        </w:rPr>
        <w:t>;</w:t>
      </w:r>
      <w:r w:rsidRPr="009F7625">
        <w:rPr>
          <w:i/>
          <w:iCs/>
          <w:sz w:val="28"/>
          <w:szCs w:val="28"/>
        </w:rPr>
        <w:br/>
        <w:t xml:space="preserve">p) </w:t>
      </w:r>
      <w:r w:rsidR="0002554D" w:rsidRPr="009F7625">
        <w:rPr>
          <w:i/>
          <w:iCs/>
          <w:sz w:val="28"/>
          <w:szCs w:val="28"/>
        </w:rPr>
        <w:t xml:space="preserve">'Ghi </w:t>
      </w:r>
      <w:r w:rsidRPr="009F7625">
        <w:rPr>
          <w:i/>
          <w:iCs/>
          <w:sz w:val="28"/>
          <w:szCs w:val="28"/>
        </w:rPr>
        <w:t xml:space="preserve">nhãn' (labelling) </w:t>
      </w:r>
      <w:r w:rsidR="0002554D" w:rsidRPr="009F7625">
        <w:rPr>
          <w:i/>
          <w:iCs/>
          <w:sz w:val="28"/>
          <w:szCs w:val="28"/>
        </w:rPr>
        <w:t>là việc gắn bất kỳ từ ngữ, thông tin, nhãn hiệu, tên thương mại, hình ảnh hoặc biểu tượng nào cho phụ gia thức ăn chăn nuôi hoặc hỗn hợp trộn sẵn bằng cách thể hiện các thông tin đó trên bất kỳ phương tiện nào liên quan đến hoặc đi kèm với phụ gia thức ăn chăn nuôi hoặc hỗn hợp trộn sẵn đó, như bao bì, vật chứa, thông báo, nhãn, tài liệu, vòng, đai hoặc phương tiện điện tử, bao gồm cả cho mục đích quảng cáo</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 xml:space="preserve">(q) </w:t>
      </w:r>
      <w:r w:rsidR="0002554D" w:rsidRPr="009F7625">
        <w:rPr>
          <w:i/>
          <w:iCs/>
          <w:sz w:val="28"/>
          <w:szCs w:val="28"/>
        </w:rPr>
        <w:t>‘Chủ sửa hữu giấy phép</w:t>
      </w:r>
      <w:r w:rsidRPr="009F7625">
        <w:rPr>
          <w:i/>
          <w:iCs/>
          <w:sz w:val="28"/>
          <w:szCs w:val="28"/>
        </w:rPr>
        <w:t xml:space="preserve">' (holder of the authorisation) </w:t>
      </w:r>
      <w:r w:rsidR="0002554D" w:rsidRPr="009F7625">
        <w:rPr>
          <w:i/>
          <w:iCs/>
          <w:sz w:val="28"/>
          <w:szCs w:val="28"/>
        </w:rPr>
        <w:t>là cá nhân hoặc pháp nhân được ghi nhận với tư cách đó trong Sổ đăng ký Cộng đồng về phụ gia thức ăn chăn nuôi liên quan đến giấy phép tương ứng</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2</w:t>
      </w:r>
      <w:r w:rsidR="0020204B" w:rsidRPr="009F7625">
        <w:rPr>
          <w:sz w:val="28"/>
          <w:szCs w:val="28"/>
        </w:rPr>
        <w:t>.</w:t>
      </w:r>
      <w:r w:rsidR="00364627" w:rsidRPr="009F7625">
        <w:rPr>
          <w:sz w:val="28"/>
          <w:szCs w:val="28"/>
        </w:rPr>
        <w:t xml:space="preserve">Thay thế Khoản 3 </w:t>
      </w:r>
      <w:r w:rsidRPr="009F7625">
        <w:rPr>
          <w:sz w:val="28"/>
          <w:szCs w:val="28"/>
        </w:rPr>
        <w:t xml:space="preserve">Điều 3, đoạn 3 bằng </w:t>
      </w:r>
      <w:r w:rsidR="00364627" w:rsidRPr="009F7625">
        <w:rPr>
          <w:sz w:val="28"/>
          <w:szCs w:val="28"/>
        </w:rPr>
        <w:t>nội dung sau</w:t>
      </w:r>
      <w:r w:rsidRPr="009F7625">
        <w:rPr>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"3. </w:t>
      </w:r>
      <w:r w:rsidR="00364627" w:rsidRPr="009F7625">
        <w:rPr>
          <w:i/>
          <w:iCs/>
          <w:sz w:val="28"/>
          <w:szCs w:val="28"/>
        </w:rPr>
        <w:t>Trong trường hợp các chất phụ gia thuộc các danh mục quy định tại điểm d và e Khoản 1 Điều 6, và các chất phụ gia nằm trong phạm vi điều chỉnh của pháp luật Liên minh liên quan đến việc tiếp thị các sản phẩm bao gồm, chứa hoặc được sản xuất từ sinh vật biến đổi gen (GMO), không một ai khác ngoài chủ sở hữu giấy phép quy định tại Điều 9, người kế thừa hợp pháp hoặc người kế nhiệm quyền sở hữu của người đó, hoặc một người hoạt động theo ủy quyền bằng văn bản của người đó được phép đưa sản phẩm ra thị trường lần đầu tiên</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3</w:t>
      </w:r>
      <w:r w:rsidR="00761198" w:rsidRPr="009F7625">
        <w:rPr>
          <w:sz w:val="28"/>
          <w:szCs w:val="28"/>
        </w:rPr>
        <w:t xml:space="preserve">. </w:t>
      </w:r>
      <w:r w:rsidRPr="009F7625">
        <w:rPr>
          <w:sz w:val="28"/>
          <w:szCs w:val="28"/>
        </w:rPr>
        <w:t>Điều 9 được sửa đổi như 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lastRenderedPageBreak/>
        <w:t xml:space="preserve">a) </w:t>
      </w:r>
      <w:r w:rsidR="005A679C" w:rsidRPr="009F7625">
        <w:rPr>
          <w:sz w:val="28"/>
          <w:szCs w:val="28"/>
        </w:rPr>
        <w:t xml:space="preserve">Thay thế </w:t>
      </w:r>
      <w:r w:rsidR="00262EBD" w:rsidRPr="009F7625">
        <w:rPr>
          <w:sz w:val="28"/>
          <w:szCs w:val="28"/>
        </w:rPr>
        <w:t>Khoản</w:t>
      </w:r>
      <w:r w:rsidRPr="009F7625">
        <w:rPr>
          <w:sz w:val="28"/>
          <w:szCs w:val="28"/>
        </w:rPr>
        <w:t xml:space="preserve"> 6 bằng </w:t>
      </w:r>
      <w:r w:rsidR="00262EBD" w:rsidRPr="009F7625">
        <w:rPr>
          <w:sz w:val="28"/>
          <w:szCs w:val="28"/>
        </w:rPr>
        <w:t xml:space="preserve">nội dung </w:t>
      </w:r>
      <w:r w:rsidRPr="009F7625">
        <w:rPr>
          <w:sz w:val="28"/>
          <w:szCs w:val="28"/>
        </w:rPr>
        <w:t>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w:t>
      </w:r>
      <w:r w:rsidR="00C81C3D" w:rsidRPr="009F7625">
        <w:rPr>
          <w:i/>
          <w:iCs/>
          <w:sz w:val="28"/>
          <w:szCs w:val="28"/>
        </w:rPr>
        <w:t>6. Quy định cấp phép đối với các phụ gia gồm, chứa hoặc được sản xuất từ sinh vật biến đổi gen (GMO) phải bao gồm mã định danh duy nhất của GMO theo quy định tại Quy định (EC) số 1830/2003 của Nghị viện châu Âu và của Hội đồng, nếu GMO đó có mã định danh</w:t>
      </w:r>
      <w:r w:rsidR="005A679C" w:rsidRPr="009F7625">
        <w:rPr>
          <w:i/>
          <w:iCs/>
          <w:sz w:val="28"/>
          <w:szCs w:val="28"/>
        </w:rPr>
        <w:t xml:space="preserve"> (Quy định (EC) số 1830/2003 của Nghị viện châu Âu và của Hội đồng ngày 22 tháng 9 năm 2003 về khả năng truy xuất nguồn gốc và ghi nhãn đối với sinh vật biến đổi gen, cũng như khả năng truy xuất nguồn gốc đối với thực phẩm và thức ăn chăn nuôi được sản xuất từ sinh vật biến đổi gen, và sửa đổi Chỉ thị 2001/18/EC (OJ L 268, 18.10.2003, trang 24, ELI)</w:t>
      </w:r>
      <w:r w:rsidR="00C81C3D" w:rsidRPr="009F7625">
        <w:rPr>
          <w:i/>
          <w:iCs/>
          <w:sz w:val="28"/>
          <w:szCs w:val="28"/>
        </w:rPr>
        <w:t>.</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b) </w:t>
      </w:r>
      <w:r w:rsidR="005A679C" w:rsidRPr="009F7625">
        <w:rPr>
          <w:sz w:val="28"/>
          <w:szCs w:val="28"/>
        </w:rPr>
        <w:t xml:space="preserve">Thay thế Khoản </w:t>
      </w:r>
      <w:r w:rsidRPr="009F7625">
        <w:rPr>
          <w:sz w:val="28"/>
          <w:szCs w:val="28"/>
        </w:rPr>
        <w:t xml:space="preserve">8 bằng </w:t>
      </w:r>
      <w:r w:rsidR="005A679C" w:rsidRPr="009F7625">
        <w:rPr>
          <w:sz w:val="28"/>
          <w:szCs w:val="28"/>
        </w:rPr>
        <w:t xml:space="preserve">nội dung </w:t>
      </w:r>
      <w:r w:rsidRPr="009F7625">
        <w:rPr>
          <w:sz w:val="28"/>
          <w:szCs w:val="28"/>
        </w:rPr>
        <w:t>sau:</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w:t>
      </w:r>
      <w:r w:rsidR="005A679C" w:rsidRPr="009F7625">
        <w:rPr>
          <w:i/>
          <w:iCs/>
          <w:sz w:val="28"/>
          <w:szCs w:val="28"/>
        </w:rPr>
        <w:t>8. Không làm ảnh hưởng đến quy định tại Điều 13, giấy phép được cấp theo quy trình quy định tại Quy định này sẽ có giá trị vô thời hạn trên toàn Liên minh. Phụ gia thức ăn chăn nuôi đã được cấp phép sẽ được đưa vào Danh mục Phụ gia Thức ăn chăn nuôi của Cộng đồng quy định tại Điều 17 (‘Danh mục’) ngay khi Quy định cấp phép có hiệu lực. Mỗi mục trong Danh mục phải nêu rõ ngày cấp phép và bao gồm các chi tiết quy định tại các khoản 5, 6 và 7 của Điều này. Ngoài ra, mỗi mục trong Danh mục liên quan đến các chất phụ gia thuộc các danh mục quy định tại điểm (d) và (e) khoản 1 Điều 6, và các chất phụ gia bao gồm, chứa hoặc được sản xuất từ GMO, phải bao gồm tên của chủ sở hữu giấy phép.”</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 xml:space="preserve">c) </w:t>
      </w:r>
      <w:r w:rsidR="00E23E58" w:rsidRPr="009F7625">
        <w:rPr>
          <w:sz w:val="28"/>
          <w:szCs w:val="28"/>
        </w:rPr>
        <w:t xml:space="preserve">Bổ sung mới </w:t>
      </w:r>
      <w:r w:rsidRPr="009F7625">
        <w:rPr>
          <w:sz w:val="28"/>
          <w:szCs w:val="28"/>
        </w:rPr>
        <w:t xml:space="preserve">các </w:t>
      </w:r>
      <w:r w:rsidR="00E23E58" w:rsidRPr="009F7625">
        <w:rPr>
          <w:sz w:val="28"/>
          <w:szCs w:val="28"/>
        </w:rPr>
        <w:t xml:space="preserve">Khoản </w:t>
      </w:r>
      <w:r w:rsidRPr="009F7625">
        <w:rPr>
          <w:sz w:val="28"/>
          <w:szCs w:val="28"/>
        </w:rPr>
        <w:t>8a và 8b</w:t>
      </w:r>
      <w:r w:rsidR="00E23E58" w:rsidRPr="009F7625">
        <w:rPr>
          <w:sz w:val="28"/>
          <w:szCs w:val="28"/>
        </w:rPr>
        <w:t>, cụ thể</w:t>
      </w:r>
      <w:r w:rsidRPr="009F7625">
        <w:rPr>
          <w:sz w:val="28"/>
          <w:szCs w:val="28"/>
        </w:rPr>
        <w:t>:</w:t>
      </w:r>
    </w:p>
    <w:p w:rsidR="00E23E58"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w:t>
      </w:r>
      <w:r w:rsidR="00E23E58" w:rsidRPr="009F7625">
        <w:rPr>
          <w:i/>
          <w:iCs/>
          <w:sz w:val="28"/>
          <w:szCs w:val="28"/>
        </w:rPr>
        <w:t>8a. Ủy ban có thể thông qua các văn bản thực thi, sửa đổi các Quy định cấp phép đã được thông qua trước ngày [vui lòng chèn ngày Quy định này có hiệu lực] trong trường hợp các Quy định đó có nêu tên chủ sở hữu giấy phép, nhằm loại bỏ tên này khỏi Quy định và đưa vào Sổ đăng ký. Các văn bản thực thi này được thông qua theo thủ tục kiểm tra quy định tại Khoản 2 Điều 22.</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i/>
          <w:iCs/>
          <w:sz w:val="28"/>
          <w:szCs w:val="28"/>
        </w:rPr>
        <w:t xml:space="preserve">8b. </w:t>
      </w:r>
      <w:r w:rsidR="00E23E58" w:rsidRPr="009F7625">
        <w:rPr>
          <w:i/>
          <w:iCs/>
          <w:sz w:val="28"/>
          <w:szCs w:val="28"/>
        </w:rPr>
        <w:t>Khác với quy định tại Khoản 8, giấy phép cấp cho các phụ gia thuộc nhóm quy định tại điểm e Khoản 1 Điều 6 theo thủ tục quy định tại Quy định này có hiệu lực trên toàn lãnh thổ Liên minh trong thời hạn 10 năm và có thể được gia hạn theo quy định tại Điều 14</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4</w:t>
      </w:r>
      <w:r w:rsidR="00640E79" w:rsidRPr="009F7625">
        <w:rPr>
          <w:sz w:val="28"/>
          <w:szCs w:val="28"/>
        </w:rPr>
        <w:t xml:space="preserve">. Bổ sung mới </w:t>
      </w:r>
      <w:r w:rsidRPr="009F7625">
        <w:rPr>
          <w:sz w:val="28"/>
          <w:szCs w:val="28"/>
        </w:rPr>
        <w:t>Điều 9a</w:t>
      </w:r>
      <w:r w:rsidR="00640E79" w:rsidRPr="009F7625">
        <w:rPr>
          <w:sz w:val="28"/>
          <w:szCs w:val="28"/>
        </w:rPr>
        <w:t>, cụ thể</w:t>
      </w:r>
      <w:r w:rsidRPr="009F7625">
        <w:rPr>
          <w:sz w:val="28"/>
          <w:szCs w:val="28"/>
        </w:rPr>
        <w:t>:</w:t>
      </w:r>
    </w:p>
    <w:p w:rsidR="003C1BEA" w:rsidRPr="009F7625" w:rsidRDefault="000F4B72" w:rsidP="00603B23">
      <w:pPr>
        <w:pStyle w:val="ds-markdown-paragraph"/>
        <w:shd w:val="clear" w:color="auto" w:fill="FFFFFF"/>
        <w:spacing w:before="120" w:beforeAutospacing="0" w:after="12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9a</w:t>
      </w:r>
    </w:p>
    <w:p w:rsidR="003C1BEA" w:rsidRPr="009F7625" w:rsidRDefault="003C1BEA" w:rsidP="00603B23">
      <w:pPr>
        <w:pStyle w:val="ds-markdown-paragraph"/>
        <w:shd w:val="clear" w:color="auto" w:fill="FFFFFF"/>
        <w:spacing w:before="120" w:beforeAutospacing="0" w:after="120" w:afterAutospacing="0" w:line="360" w:lineRule="atLeast"/>
        <w:ind w:firstLine="709"/>
        <w:jc w:val="center"/>
        <w:rPr>
          <w:i/>
          <w:iCs/>
          <w:sz w:val="28"/>
          <w:szCs w:val="28"/>
        </w:rPr>
      </w:pPr>
      <w:r w:rsidRPr="009F7625">
        <w:rPr>
          <w:rStyle w:val="Strong"/>
          <w:i/>
          <w:iCs/>
          <w:sz w:val="28"/>
          <w:szCs w:val="28"/>
        </w:rPr>
        <w:t xml:space="preserve">Thời hạn hiệu lực của một số giấy phép được cấp trước </w:t>
      </w:r>
      <w:r w:rsidR="00640E79" w:rsidRPr="009F7625">
        <w:rPr>
          <w:rStyle w:val="Strong"/>
          <w:i/>
          <w:iCs/>
          <w:sz w:val="28"/>
          <w:szCs w:val="28"/>
        </w:rPr>
        <w:t xml:space="preserve">ngày </w:t>
      </w:r>
      <w:r w:rsidRPr="009F7625">
        <w:rPr>
          <w:rStyle w:val="Strong"/>
          <w:i/>
          <w:iCs/>
          <w:sz w:val="28"/>
          <w:szCs w:val="28"/>
        </w:rPr>
        <w:t>[vui lòng chèn ngày Quy định này có hiệu lực]</w:t>
      </w:r>
    </w:p>
    <w:p w:rsidR="003C1BEA" w:rsidRPr="009F7625" w:rsidRDefault="00640E79"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lastRenderedPageBreak/>
        <w:t>Các giấy phép đối với phụ gia thức ăn chăn nuôi đã được cấp trước ngày [đề nghị chèn ngày có hiệu lực của Quy định này] được coi là có hiệu lực không xác định thời hạn, trừ các trường hợp sau:</w:t>
      </w:r>
    </w:p>
    <w:p w:rsidR="00640E79"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a) </w:t>
      </w:r>
      <w:r w:rsidR="00640E79" w:rsidRPr="009F7625">
        <w:rPr>
          <w:i/>
          <w:iCs/>
          <w:sz w:val="28"/>
          <w:szCs w:val="28"/>
        </w:rPr>
        <w:t>Các chất phụ gia thức ăn chăn nuôi thuộc nhóm quy định tại điểm e Khoản 1 Điều 6;</w:t>
      </w:r>
    </w:p>
    <w:p w:rsidR="00640E79"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b) </w:t>
      </w:r>
      <w:r w:rsidR="000F4B72" w:rsidRPr="009F7625">
        <w:rPr>
          <w:i/>
          <w:iCs/>
          <w:sz w:val="28"/>
          <w:szCs w:val="28"/>
        </w:rPr>
        <w:t>Các giấy phép khẩn cấp được cấp theo quy định tại Điều 15</w:t>
      </w:r>
      <w:r w:rsidRPr="009F7625">
        <w:rPr>
          <w:i/>
          <w:iCs/>
          <w:sz w:val="28"/>
          <w:szCs w:val="28"/>
        </w:rPr>
        <w:t>;</w:t>
      </w:r>
    </w:p>
    <w:p w:rsidR="000F4B72"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c) </w:t>
      </w:r>
      <w:r w:rsidR="000F4B72" w:rsidRPr="009F7625">
        <w:rPr>
          <w:i/>
          <w:iCs/>
          <w:sz w:val="28"/>
          <w:szCs w:val="28"/>
        </w:rPr>
        <w:t>Các giấy phép mà không có hồ sơ đề nghị gia hạn được nộp trong thời hạn quy định tại khoản 1 Điều 14 trước ngày [đề nghị chèn ngày có hiệu lực của Quy định này] hoặc hồ sơ đề nghị gia hạn đã được nộp nhưng sau đó bị rút lại;</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d) </w:t>
      </w:r>
      <w:r w:rsidR="000F4B72" w:rsidRPr="009F7625">
        <w:rPr>
          <w:i/>
          <w:iCs/>
          <w:sz w:val="28"/>
          <w:szCs w:val="28"/>
        </w:rPr>
        <w:t>Các giấy phép mà hồ sơ đề nghị gia hạn đã được nộp theo quy định tại Điều 14 trước ngày [đề nghị chèn ngày có hiệu lực của Quy định này] nhưng đến thời điểm đó chưa có quyết định được ban hành.</w:t>
      </w:r>
      <w:r w:rsidRPr="009F7625">
        <w:rPr>
          <w:i/>
          <w:iCs/>
          <w:sz w:val="28"/>
          <w:szCs w:val="28"/>
        </w:rPr>
        <w:t>"</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sz w:val="28"/>
          <w:szCs w:val="28"/>
        </w:rPr>
      </w:pPr>
      <w:r w:rsidRPr="009F7625">
        <w:rPr>
          <w:sz w:val="28"/>
          <w:szCs w:val="28"/>
        </w:rPr>
        <w:t>5</w:t>
      </w:r>
      <w:r w:rsidR="000F4B72" w:rsidRPr="009F7625">
        <w:rPr>
          <w:sz w:val="28"/>
          <w:szCs w:val="28"/>
        </w:rPr>
        <w:t xml:space="preserve">. Thay thế </w:t>
      </w:r>
      <w:r w:rsidRPr="009F7625">
        <w:rPr>
          <w:sz w:val="28"/>
          <w:szCs w:val="28"/>
        </w:rPr>
        <w:t>Điều 1</w:t>
      </w:r>
      <w:r w:rsidR="000F4B72" w:rsidRPr="009F7625">
        <w:rPr>
          <w:sz w:val="28"/>
          <w:szCs w:val="28"/>
        </w:rPr>
        <w:t>3,</w:t>
      </w:r>
      <w:r w:rsidR="00510C5A" w:rsidRPr="009F7625">
        <w:rPr>
          <w:sz w:val="28"/>
          <w:szCs w:val="28"/>
        </w:rPr>
        <w:t xml:space="preserve"> </w:t>
      </w:r>
      <w:r w:rsidR="000F4B72" w:rsidRPr="009F7625">
        <w:rPr>
          <w:sz w:val="28"/>
          <w:szCs w:val="28"/>
        </w:rPr>
        <w:t>cụ thể</w:t>
      </w:r>
      <w:r w:rsidRPr="009F7625">
        <w:rPr>
          <w:sz w:val="28"/>
          <w:szCs w:val="28"/>
        </w:rPr>
        <w:t>:</w:t>
      </w:r>
    </w:p>
    <w:p w:rsidR="003C1BEA" w:rsidRPr="009F7625" w:rsidRDefault="000F4B72"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w:t>
      </w:r>
      <w:r w:rsidR="003C1BEA" w:rsidRPr="009F7625">
        <w:rPr>
          <w:rStyle w:val="Strong"/>
          <w:i/>
          <w:iCs/>
          <w:sz w:val="28"/>
          <w:szCs w:val="28"/>
        </w:rPr>
        <w:t>Điều 13</w:t>
      </w:r>
    </w:p>
    <w:p w:rsidR="003C1BEA" w:rsidRPr="009F7625" w:rsidRDefault="003C1BEA" w:rsidP="00603B23">
      <w:pPr>
        <w:pStyle w:val="ds-markdown-paragraph"/>
        <w:shd w:val="clear" w:color="auto" w:fill="FFFFFF"/>
        <w:spacing w:before="0" w:beforeAutospacing="0" w:after="0" w:afterAutospacing="0" w:line="360" w:lineRule="atLeast"/>
        <w:ind w:firstLine="709"/>
        <w:jc w:val="center"/>
        <w:rPr>
          <w:i/>
          <w:iCs/>
          <w:sz w:val="28"/>
          <w:szCs w:val="28"/>
        </w:rPr>
      </w:pPr>
      <w:r w:rsidRPr="009F7625">
        <w:rPr>
          <w:rStyle w:val="Strong"/>
          <w:i/>
          <w:iCs/>
          <w:sz w:val="28"/>
          <w:szCs w:val="28"/>
        </w:rPr>
        <w:t>Sửa đổi, đình chỉ và thu hồi giấy phép</w:t>
      </w:r>
    </w:p>
    <w:p w:rsidR="003C1BEA" w:rsidRPr="009F7625" w:rsidRDefault="000F4B72"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1. Theo sáng kiến của mình hoặc theo đề nghị của một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hoặc của Ủy ban, Cơ quan phải đưa ra ý kiến về việc giấy phép còn đáp ứng các điều kiện quy định tại Quy định này hay không, trên cơ sở xem xét các tiến bộ khoa học và công nghệ</w:t>
      </w:r>
      <w:r w:rsidR="003C1BEA" w:rsidRPr="009F7625">
        <w:rPr>
          <w:i/>
          <w:iCs/>
          <w:sz w:val="28"/>
          <w:szCs w:val="28"/>
        </w:rPr>
        <w:t>.</w:t>
      </w:r>
      <w:r w:rsidRPr="009F7625">
        <w:rPr>
          <w:i/>
          <w:iCs/>
          <w:sz w:val="28"/>
          <w:szCs w:val="28"/>
        </w:rPr>
        <w:t xml:space="preserve"> Để chuẩn bị ý kiến của mình, khi cần thiết, Cơ quan có thể yêu cầu người đã nộp hồ sơ đề nghị cấp giấy phép liên quan hoặc, nếu áp dụng, chủ sở hữu giấy phép cung cấp trong thời hạn xác định các thông tin và dữ liệu liên quan phục vụ việc đánh giá. Cơ quan phải ngay lập tức chuyển ý kiến của mình cho Ủy ban,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và, khi áp dụng, cho chủ sở hữu giấy phép. Ý kiến đó phải được công khai</w:t>
      </w:r>
    </w:p>
    <w:p w:rsidR="003C1BEA" w:rsidRPr="009F7625" w:rsidRDefault="000F4B72"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2. Ủy ban xem xét ý kiến của Cơ quan trong thời hạn quy định và thông qua văn bản thực thi để quyết định việc sửa đổi, tạm đình chỉ hoặc thu hồi giấy phép liên quan. Các văn bản thực thi này được thông qua theo thủ tục kiểm tra quy định tại khoản 2 Điều 22.</w:t>
      </w:r>
    </w:p>
    <w:p w:rsidR="003C1BEA" w:rsidRPr="009F7625" w:rsidRDefault="000F4B72"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3. Trường hợp chủ sở hữu giấy phép đề nghị thay đổi các điều kiện của giấy phép thông qua việc nộp hồ sơ cho Ủy ban, kèm theo các tài liệu liên quan chứng minh cho đề nghị thay đổi đó, Cơ quan phải chuyển ý kiến của mình về đề nghị này cho Ủy ban và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viên.Ủy ban xem xét ý kiến của Cơ quan và, thông qua văn bản thực thi, quyết định việc thay đổi liên quan. Các văn bản thực thi này được thông qua theo thủ tục kiểm tra quy định tại khoản 2 Điều 22.</w:t>
      </w:r>
    </w:p>
    <w:p w:rsidR="003C1BEA" w:rsidRPr="009F7625" w:rsidRDefault="003C1BEA"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3a. </w:t>
      </w:r>
      <w:r w:rsidR="000F4B72" w:rsidRPr="009F7625">
        <w:rPr>
          <w:i/>
          <w:iCs/>
          <w:sz w:val="28"/>
          <w:szCs w:val="28"/>
        </w:rPr>
        <w:t xml:space="preserve">Trường hợp cần thay đổi thông tin về chủ sở hữu của một giấy phép hiện có, chủ sở hữu giấy phép đó phải nộp cho Ủy ban đề nghị sửa đổi tên của </w:t>
      </w:r>
      <w:r w:rsidR="000F4B72" w:rsidRPr="009F7625">
        <w:rPr>
          <w:i/>
          <w:iCs/>
          <w:sz w:val="28"/>
          <w:szCs w:val="28"/>
        </w:rPr>
        <w:lastRenderedPageBreak/>
        <w:t>chủ sở hữu giấy phép, kèm theo các tài liệu liên quan chứng minh cho đề nghị này. Ủy ban quyết định về đề nghị sửa đổi và thông báo quyết định của mình cho chủ sở hữu giấy phép. Trường hợp đề nghị được chấp thuận, Ủy ban phải điều chỉnh mục thông tin tương ứng trong Sổ đăng ký trong thời hạn 20 ngày</w:t>
      </w:r>
      <w:r w:rsidRPr="009F7625">
        <w:rPr>
          <w:i/>
          <w:iCs/>
          <w:sz w:val="28"/>
          <w:szCs w:val="28"/>
        </w:rPr>
        <w:t>.</w:t>
      </w:r>
    </w:p>
    <w:p w:rsidR="003C1BEA" w:rsidRPr="009F7625" w:rsidRDefault="000F4B72"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4. Đối với các giấy phép không được cấp cho một chủ sở hữu cụ thể, bất kỳ tổ chức, cá nhân nào có lợi ích liên quan đều có thể nộp cho Ủy ban hồ sơ đề nghị sửa đổi các điều kiện của giấy phép, kèm theo các dữ liệu liên quan chứng minh cho đề nghị thay đổi. Việc sửa đổi này nhằm mở rộng các đặc tính hoặc điều kiện của giấy phép liên quan. Cơ quan phải chuyển ý kiến của mình về đề nghị đó cho Ủy ban và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Ủy ban xem xét ý kiến của Cơ quan và, thông qua văn bản thực thi, quyết định việc sửa đổi giấy phép liên quan. Các văn bản thực thi này được thông qua theo thủ tục kiểm tra quy định tại Khoản 2 Điều 22.</w:t>
      </w:r>
    </w:p>
    <w:p w:rsidR="003C1BEA" w:rsidRPr="009F7625" w:rsidRDefault="000F4B72" w:rsidP="00603B23">
      <w:pPr>
        <w:pStyle w:val="ds-markdown-paragraph"/>
        <w:shd w:val="clear" w:color="auto" w:fill="FFFFFF"/>
        <w:spacing w:before="120" w:beforeAutospacing="0" w:after="120" w:afterAutospacing="0" w:line="360" w:lineRule="atLeast"/>
        <w:ind w:firstLine="709"/>
        <w:jc w:val="both"/>
        <w:rPr>
          <w:i/>
          <w:iCs/>
          <w:sz w:val="28"/>
          <w:szCs w:val="28"/>
        </w:rPr>
      </w:pPr>
      <w:r w:rsidRPr="009F7625">
        <w:rPr>
          <w:i/>
          <w:iCs/>
          <w:sz w:val="28"/>
          <w:szCs w:val="28"/>
        </w:rPr>
        <w:t xml:space="preserve">5. Trường hợp Ủy ban, Phòng thí nghiệm tham chiếu của Cộng đồng hoặc Cơ quan xét thấy, trên cơ sở các tiến bộ khoa học và công nghệ, phương pháp phân tích được quy định trong Quy định cấp phép cần được sửa đổi, Phòng thí nghiệm tham chiếu của Cộng đồng phải trình báo cáo đánh giá mới cho Ủy ban và Cơ quan; đồng thời, đối với các phụ gia thuộc nhóm quy định tại điểm (d) và (e) khoản 1 Điều 6, cũng như các phụ gia gồm, chứa hoặc được sản xuất từ sinh vật biến đổi gen (GMO), phải gửi báo cáo này cho chủ sở hữu giấy phép liên quan. Cơ quan đưa ra ý kiến và chuyển ý kiến đó cho Ủy ban, các </w:t>
      </w:r>
      <w:r w:rsidR="00FE27DE" w:rsidRPr="009F7625">
        <w:rPr>
          <w:i/>
          <w:iCs/>
          <w:sz w:val="28"/>
          <w:szCs w:val="28"/>
        </w:rPr>
        <w:t xml:space="preserve">quốc </w:t>
      </w:r>
      <w:r w:rsidRPr="009F7625">
        <w:rPr>
          <w:i/>
          <w:iCs/>
          <w:sz w:val="28"/>
          <w:szCs w:val="28"/>
        </w:rPr>
        <w:t xml:space="preserve">gia </w:t>
      </w:r>
      <w:r w:rsidR="00FE27DE" w:rsidRPr="009F7625">
        <w:rPr>
          <w:i/>
          <w:iCs/>
          <w:sz w:val="28"/>
          <w:szCs w:val="28"/>
        </w:rPr>
        <w:t xml:space="preserve">thành </w:t>
      </w:r>
      <w:r w:rsidRPr="009F7625">
        <w:rPr>
          <w:i/>
          <w:iCs/>
          <w:sz w:val="28"/>
          <w:szCs w:val="28"/>
        </w:rPr>
        <w:t>viên và, khi áp dụng, cho chủ sở hữu giấy phép. Ủy ban xem xét ý kiến của Cơ quan và, thông qua văn bản thực thi, quyết định việc sửa đổi giấy phép liên quan. Các văn bản thực thi này được thông qua theo thủ tục kiểm tra quy định tại Khoản 2 Điều 22</w:t>
      </w:r>
      <w:r w:rsidR="003C1BEA" w:rsidRPr="009F7625">
        <w:rPr>
          <w:i/>
          <w:iCs/>
          <w:sz w:val="28"/>
          <w:szCs w:val="28"/>
        </w:rPr>
        <w:t>.</w:t>
      </w:r>
    </w:p>
    <w:p w:rsidR="003C1BEA" w:rsidRPr="009F7625" w:rsidRDefault="000F4B7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6. Ủy ban phải thông báo kịp thời cho người nộp hồ sơ về quyết định được ban hành theo quy định tại các khoản 3, 4 và 5, tùy từng trường hợp. Sổ đăng ký được sửa đổi khi cần thiết</w:t>
      </w:r>
      <w:r w:rsidR="003C1BEA" w:rsidRPr="009F7625">
        <w:rPr>
          <w:rFonts w:ascii="Times New Roman" w:eastAsia="Times New Roman" w:hAnsi="Times New Roman" w:cs="Times New Roman"/>
          <w:i/>
          <w:iCs/>
          <w:sz w:val="28"/>
          <w:szCs w:val="28"/>
        </w:rPr>
        <w:t>.</w:t>
      </w:r>
    </w:p>
    <w:p w:rsidR="003C1BEA" w:rsidRPr="009F7625" w:rsidRDefault="000F4B72"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7. </w:t>
      </w:r>
      <w:r w:rsidR="003C1BEA" w:rsidRPr="009F7625">
        <w:rPr>
          <w:rFonts w:ascii="Times New Roman" w:eastAsia="Times New Roman" w:hAnsi="Times New Roman" w:cs="Times New Roman"/>
          <w:i/>
          <w:iCs/>
          <w:sz w:val="28"/>
          <w:szCs w:val="28"/>
        </w:rPr>
        <w:t xml:space="preserve">Các Điều 7, </w:t>
      </w:r>
      <w:r w:rsidRPr="009F7625">
        <w:rPr>
          <w:rFonts w:ascii="Times New Roman" w:eastAsia="Times New Roman" w:hAnsi="Times New Roman" w:cs="Times New Roman"/>
          <w:i/>
          <w:iCs/>
          <w:sz w:val="28"/>
          <w:szCs w:val="28"/>
        </w:rPr>
        <w:t xml:space="preserve">Điều </w:t>
      </w:r>
      <w:r w:rsidR="003C1BEA" w:rsidRPr="009F7625">
        <w:rPr>
          <w:rFonts w:ascii="Times New Roman" w:eastAsia="Times New Roman" w:hAnsi="Times New Roman" w:cs="Times New Roman"/>
          <w:i/>
          <w:iCs/>
          <w:sz w:val="28"/>
          <w:szCs w:val="28"/>
        </w:rPr>
        <w:t>8 và</w:t>
      </w:r>
      <w:r w:rsidRPr="009F7625">
        <w:rPr>
          <w:rFonts w:ascii="Times New Roman" w:eastAsia="Times New Roman" w:hAnsi="Times New Roman" w:cs="Times New Roman"/>
          <w:i/>
          <w:iCs/>
          <w:sz w:val="28"/>
          <w:szCs w:val="28"/>
        </w:rPr>
        <w:t xml:space="preserve"> Điều</w:t>
      </w:r>
      <w:r w:rsidR="003C1BEA" w:rsidRPr="009F7625">
        <w:rPr>
          <w:rFonts w:ascii="Times New Roman" w:eastAsia="Times New Roman" w:hAnsi="Times New Roman" w:cs="Times New Roman"/>
          <w:i/>
          <w:iCs/>
          <w:sz w:val="28"/>
          <w:szCs w:val="28"/>
        </w:rPr>
        <w:t xml:space="preserve"> 9 sẽ được áp dụng tương ứng.</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6</w:t>
      </w:r>
      <w:r w:rsidR="000F4B72" w:rsidRPr="009F7625">
        <w:rPr>
          <w:rFonts w:ascii="Times New Roman" w:eastAsia="Times New Roman" w:hAnsi="Times New Roman" w:cs="Times New Roman"/>
          <w:sz w:val="28"/>
          <w:szCs w:val="28"/>
        </w:rPr>
        <w:t>.</w:t>
      </w:r>
      <w:r w:rsidR="00510C5A" w:rsidRPr="009F7625">
        <w:rPr>
          <w:rFonts w:ascii="Times New Roman" w:eastAsia="Times New Roman" w:hAnsi="Times New Roman" w:cs="Times New Roman"/>
          <w:sz w:val="28"/>
          <w:szCs w:val="28"/>
        </w:rPr>
        <w:t xml:space="preserve"> </w:t>
      </w:r>
      <w:r w:rsidR="000F4B72" w:rsidRPr="009F7625">
        <w:rPr>
          <w:rFonts w:ascii="Times New Roman" w:eastAsia="Times New Roman" w:hAnsi="Times New Roman" w:cs="Times New Roman"/>
          <w:sz w:val="28"/>
          <w:szCs w:val="28"/>
        </w:rPr>
        <w:t xml:space="preserve">Thay thế </w:t>
      </w:r>
      <w:r w:rsidRPr="009F7625">
        <w:rPr>
          <w:rFonts w:ascii="Times New Roman" w:eastAsia="Times New Roman" w:hAnsi="Times New Roman" w:cs="Times New Roman"/>
          <w:sz w:val="28"/>
          <w:szCs w:val="28"/>
        </w:rPr>
        <w:t xml:space="preserve">Điều 14 bằng </w:t>
      </w:r>
      <w:r w:rsidR="000F4B72"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142357"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 xml:space="preserve">“Điều </w:t>
      </w:r>
      <w:r w:rsidR="003C1BEA" w:rsidRPr="009F7625">
        <w:rPr>
          <w:rFonts w:ascii="Times New Roman" w:eastAsia="Times New Roman" w:hAnsi="Times New Roman" w:cs="Times New Roman"/>
          <w:b/>
          <w:bCs/>
          <w:i/>
          <w:iCs/>
          <w:sz w:val="28"/>
          <w:szCs w:val="28"/>
        </w:rPr>
        <w:t>14</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Gia hạn giấy phép</w:t>
      </w:r>
    </w:p>
    <w:p w:rsidR="003C1BEA" w:rsidRPr="009F7625" w:rsidRDefault="00142357"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 Các giấy phép được cấp theo Quy định này đối với các chất phụ gia thuộc danh mục quy định tại điểm e Khoản 1 Điều 6 có thể được gia hạn theo chu kỳ 10 năm. Hồ sơ xin gia hạn phải được chủ sở hữu giấy phép hoặc người kế thừa hợp pháp của họ (người được coi là bên nộp đơn) gửi tới Ủy ban muộn nhất là một năm trước ngày hết hạn của giấy phép</w:t>
      </w:r>
      <w:r w:rsidR="003C1BEA" w:rsidRPr="009F7625">
        <w:rPr>
          <w:rFonts w:ascii="Times New Roman" w:eastAsia="Times New Roman" w:hAnsi="Times New Roman" w:cs="Times New Roman"/>
          <w:i/>
          <w:iCs/>
          <w:sz w:val="28"/>
          <w:szCs w:val="28"/>
        </w:rPr>
        <w:t>.</w:t>
      </w:r>
    </w:p>
    <w:p w:rsidR="003C1BEA" w:rsidRPr="009F7625" w:rsidRDefault="00142357"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2. Đồng thời với việc gửi hồ sơ đăng ký, người nộp đơn phải gửi các nội dung sau đây cho Cơ quan (EFSA/ECHA)</w:t>
      </w:r>
      <w:r w:rsidR="003C1BEA" w:rsidRPr="009F7625">
        <w:rPr>
          <w:rFonts w:ascii="Times New Roman" w:eastAsia="Times New Roman" w:hAnsi="Times New Roman" w:cs="Times New Roman"/>
          <w:i/>
          <w:iCs/>
          <w:sz w:val="28"/>
          <w:szCs w:val="28"/>
        </w:rPr>
        <w:t>:</w:t>
      </w:r>
    </w:p>
    <w:p w:rsidR="00142357"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142357" w:rsidRPr="009F7625">
        <w:rPr>
          <w:rFonts w:ascii="Times New Roman" w:eastAsia="Times New Roman" w:hAnsi="Times New Roman" w:cs="Times New Roman"/>
          <w:i/>
          <w:iCs/>
          <w:sz w:val="28"/>
          <w:szCs w:val="28"/>
        </w:rPr>
        <w:t xml:space="preserve">Thông tin tham chiếu đến </w:t>
      </w:r>
      <w:r w:rsidRPr="009F7625">
        <w:rPr>
          <w:rFonts w:ascii="Times New Roman" w:eastAsia="Times New Roman" w:hAnsi="Times New Roman" w:cs="Times New Roman"/>
          <w:i/>
          <w:iCs/>
          <w:sz w:val="28"/>
          <w:szCs w:val="28"/>
        </w:rPr>
        <w:t xml:space="preserve">giấy phép hiện hành </w:t>
      </w:r>
      <w:r w:rsidR="00142357" w:rsidRPr="009F7625">
        <w:rPr>
          <w:rFonts w:ascii="Times New Roman" w:eastAsia="Times New Roman" w:hAnsi="Times New Roman" w:cs="Times New Roman"/>
          <w:i/>
          <w:iCs/>
          <w:sz w:val="28"/>
          <w:szCs w:val="28"/>
        </w:rPr>
        <w:t>cho phép đưa phụ gia thức ăn chăn nuôi ra thị trường;</w:t>
      </w:r>
    </w:p>
    <w:p w:rsidR="00142357"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142357" w:rsidRPr="009F7625">
        <w:rPr>
          <w:rFonts w:ascii="Times New Roman" w:eastAsia="Times New Roman" w:hAnsi="Times New Roman" w:cs="Times New Roman"/>
          <w:i/>
          <w:iCs/>
          <w:sz w:val="28"/>
          <w:szCs w:val="28"/>
        </w:rPr>
        <w:t>Báo cáo về kết quả giám sát sau khi đưa ra thị trường, nếu các yêu cầu giám sát đó được quy định trong nội dung giấy phép;</w:t>
      </w:r>
      <w:r w:rsidRPr="009F7625">
        <w:rPr>
          <w:rFonts w:ascii="Times New Roman" w:eastAsia="Times New Roman" w:hAnsi="Times New Roman" w:cs="Times New Roman"/>
          <w:i/>
          <w:iCs/>
          <w:sz w:val="28"/>
          <w:szCs w:val="28"/>
        </w:rPr>
        <w:t>;</w:t>
      </w:r>
    </w:p>
    <w:p w:rsidR="00142357"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 </w:t>
      </w:r>
      <w:r w:rsidR="00142357" w:rsidRPr="009F7625">
        <w:rPr>
          <w:rFonts w:ascii="Times New Roman" w:eastAsia="Times New Roman" w:hAnsi="Times New Roman" w:cs="Times New Roman"/>
          <w:i/>
          <w:iCs/>
          <w:sz w:val="28"/>
          <w:szCs w:val="28"/>
        </w:rPr>
        <w:t>Bất kỳ thông tin mới nào khác phát sinh kể từ khi thông qua giấy phép hiện tại, liên quan đến việc đánh giá tính an toàn khi sử dụng chất phụ gia thức ăn chăn nuôi và các rủi ro của chất phụ gia đó đối với động vật, con người hoặc môi trường</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d</w:t>
      </w:r>
      <w:r w:rsidR="00142357" w:rsidRPr="009F7625">
        <w:rPr>
          <w:rFonts w:ascii="Times New Roman" w:eastAsia="Times New Roman" w:hAnsi="Times New Roman" w:cs="Times New Roman"/>
          <w:i/>
          <w:iCs/>
          <w:sz w:val="28"/>
          <w:szCs w:val="28"/>
        </w:rPr>
        <w:t>) Khi cần thiết, đề xuất sửa đổi hoặc bổ sung các điều kiện của giấy phép hiện hành</w:t>
      </w:r>
      <w:r w:rsidRPr="009F7625">
        <w:rPr>
          <w:rFonts w:ascii="Times New Roman" w:eastAsia="Times New Roman" w:hAnsi="Times New Roman" w:cs="Times New Roman"/>
          <w:i/>
          <w:iCs/>
          <w:sz w:val="28"/>
          <w:szCs w:val="28"/>
        </w:rPr>
        <w:t>.</w:t>
      </w:r>
    </w:p>
    <w:p w:rsidR="003C1BEA" w:rsidRPr="009F7625" w:rsidRDefault="00142357"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3. </w:t>
      </w:r>
      <w:r w:rsidR="003C1BEA" w:rsidRPr="009F7625">
        <w:rPr>
          <w:rFonts w:ascii="Times New Roman" w:eastAsia="Times New Roman" w:hAnsi="Times New Roman" w:cs="Times New Roman"/>
          <w:i/>
          <w:iCs/>
          <w:sz w:val="28"/>
          <w:szCs w:val="28"/>
        </w:rPr>
        <w:t xml:space="preserve">Các Điều 7, </w:t>
      </w:r>
      <w:r w:rsidRPr="009F7625">
        <w:rPr>
          <w:rFonts w:ascii="Times New Roman" w:eastAsia="Times New Roman" w:hAnsi="Times New Roman" w:cs="Times New Roman"/>
          <w:i/>
          <w:iCs/>
          <w:sz w:val="28"/>
          <w:szCs w:val="28"/>
        </w:rPr>
        <w:t xml:space="preserve">Điều </w:t>
      </w:r>
      <w:r w:rsidR="003C1BEA" w:rsidRPr="009F7625">
        <w:rPr>
          <w:rFonts w:ascii="Times New Roman" w:eastAsia="Times New Roman" w:hAnsi="Times New Roman" w:cs="Times New Roman"/>
          <w:i/>
          <w:iCs/>
          <w:sz w:val="28"/>
          <w:szCs w:val="28"/>
        </w:rPr>
        <w:t>8 và</w:t>
      </w:r>
      <w:r w:rsidRPr="009F7625">
        <w:rPr>
          <w:rFonts w:ascii="Times New Roman" w:eastAsia="Times New Roman" w:hAnsi="Times New Roman" w:cs="Times New Roman"/>
          <w:i/>
          <w:iCs/>
          <w:sz w:val="28"/>
          <w:szCs w:val="28"/>
        </w:rPr>
        <w:t xml:space="preserve"> Điều</w:t>
      </w:r>
      <w:r w:rsidR="003C1BEA" w:rsidRPr="009F7625">
        <w:rPr>
          <w:rFonts w:ascii="Times New Roman" w:eastAsia="Times New Roman" w:hAnsi="Times New Roman" w:cs="Times New Roman"/>
          <w:i/>
          <w:iCs/>
          <w:sz w:val="28"/>
          <w:szCs w:val="28"/>
        </w:rPr>
        <w:t xml:space="preserve"> 9 sẽ được áp dụng tương ứng.</w:t>
      </w:r>
    </w:p>
    <w:p w:rsidR="003C1BEA" w:rsidRPr="009F7625" w:rsidRDefault="00142357"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4. Trường hợp vì các lý do nằm ngoài sự kiểm soát của người nộp hồ sơ mà chưa có quyết định về việc gia hạn giấy phép trước ngày hết hạn của giấy phép đó, thời hạn hiệu lực của giấy phép đối với sản phẩm sẽ tự động được gia hạn cho đến khi Ủy ban ban hành quyết định. Thông tin về việc gia hạn này phải được công bố công khai trong Sổ đăng ký</w:t>
      </w:r>
      <w:r w:rsidR="003C1BEA"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7</w:t>
      </w:r>
      <w:r w:rsidR="003718CC" w:rsidRPr="009F7625">
        <w:rPr>
          <w:rFonts w:ascii="Times New Roman" w:eastAsia="Times New Roman" w:hAnsi="Times New Roman" w:cs="Times New Roman"/>
          <w:sz w:val="28"/>
          <w:szCs w:val="28"/>
        </w:rPr>
        <w:t>. Bổ sung mới</w:t>
      </w:r>
      <w:r w:rsidRPr="009F7625">
        <w:rPr>
          <w:rFonts w:ascii="Times New Roman" w:eastAsia="Times New Roman" w:hAnsi="Times New Roman" w:cs="Times New Roman"/>
          <w:sz w:val="28"/>
          <w:szCs w:val="28"/>
        </w:rPr>
        <w:t xml:space="preserve"> Điều 14a</w:t>
      </w:r>
      <w:r w:rsidR="003718CC" w:rsidRPr="009F7625">
        <w:rPr>
          <w:rFonts w:ascii="Times New Roman" w:eastAsia="Times New Roman" w:hAnsi="Times New Roman" w:cs="Times New Roman"/>
          <w:sz w:val="28"/>
          <w:szCs w:val="28"/>
        </w:rPr>
        <w:t>, cụ thể</w:t>
      </w:r>
      <w:r w:rsidRPr="009F7625">
        <w:rPr>
          <w:rFonts w:ascii="Times New Roman" w:eastAsia="Times New Roman" w:hAnsi="Times New Roman" w:cs="Times New Roman"/>
          <w:sz w:val="28"/>
          <w:szCs w:val="28"/>
        </w:rPr>
        <w:t>:</w:t>
      </w:r>
    </w:p>
    <w:p w:rsidR="003C1BEA" w:rsidRPr="009F7625" w:rsidRDefault="003718CC"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 xml:space="preserve">“Điều </w:t>
      </w:r>
      <w:r w:rsidR="003C1BEA" w:rsidRPr="009F7625">
        <w:rPr>
          <w:rFonts w:ascii="Times New Roman" w:eastAsia="Times New Roman" w:hAnsi="Times New Roman" w:cs="Times New Roman"/>
          <w:b/>
          <w:bCs/>
          <w:sz w:val="28"/>
          <w:szCs w:val="28"/>
        </w:rPr>
        <w:t>14a</w:t>
      </w:r>
    </w:p>
    <w:p w:rsidR="003C1BEA" w:rsidRPr="009F7625" w:rsidRDefault="003C1BEA" w:rsidP="00603B23">
      <w:pPr>
        <w:shd w:val="clear" w:color="auto" w:fill="FFFFFF"/>
        <w:spacing w:after="0" w:line="360" w:lineRule="atLeast"/>
        <w:ind w:firstLine="709"/>
        <w:jc w:val="center"/>
        <w:rPr>
          <w:rFonts w:ascii="Times New Roman" w:eastAsia="Times New Roman" w:hAnsi="Times New Roman" w:cs="Times New Roman"/>
          <w:sz w:val="28"/>
          <w:szCs w:val="28"/>
        </w:rPr>
      </w:pPr>
      <w:r w:rsidRPr="009F7625">
        <w:rPr>
          <w:rFonts w:ascii="Times New Roman" w:eastAsia="Times New Roman" w:hAnsi="Times New Roman" w:cs="Times New Roman"/>
          <w:b/>
          <w:bCs/>
          <w:sz w:val="28"/>
          <w:szCs w:val="28"/>
        </w:rPr>
        <w:t xml:space="preserve">Quy tắc cho một số đơn xin gia hạn giấy phép được nộp trước </w:t>
      </w:r>
      <w:r w:rsidR="003718CC" w:rsidRPr="009F7625">
        <w:rPr>
          <w:rFonts w:ascii="Times New Roman" w:eastAsia="Times New Roman" w:hAnsi="Times New Roman" w:cs="Times New Roman"/>
          <w:b/>
          <w:bCs/>
          <w:sz w:val="28"/>
          <w:szCs w:val="28"/>
        </w:rPr>
        <w:t xml:space="preserve">ngày </w:t>
      </w:r>
      <w:r w:rsidRPr="009F7625">
        <w:rPr>
          <w:rFonts w:ascii="Times New Roman" w:eastAsia="Times New Roman" w:hAnsi="Times New Roman" w:cs="Times New Roman"/>
          <w:b/>
          <w:bCs/>
          <w:sz w:val="28"/>
          <w:szCs w:val="28"/>
        </w:rPr>
        <w:t xml:space="preserve">[vui lòng chèn </w:t>
      </w:r>
      <w:r w:rsidR="003718CC" w:rsidRPr="009F7625">
        <w:rPr>
          <w:rFonts w:ascii="Times New Roman" w:eastAsia="Times New Roman" w:hAnsi="Times New Roman" w:cs="Times New Roman"/>
          <w:b/>
          <w:bCs/>
          <w:sz w:val="28"/>
          <w:szCs w:val="28"/>
        </w:rPr>
        <w:t>ngày</w:t>
      </w:r>
      <w:r w:rsidRPr="009F7625">
        <w:rPr>
          <w:rFonts w:ascii="Times New Roman" w:eastAsia="Times New Roman" w:hAnsi="Times New Roman" w:cs="Times New Roman"/>
          <w:b/>
          <w:bCs/>
          <w:sz w:val="28"/>
          <w:szCs w:val="28"/>
        </w:rPr>
        <w:t xml:space="preserve"> Quy định này có hiệu lực]</w:t>
      </w:r>
    </w:p>
    <w:p w:rsidR="003C1BEA" w:rsidRPr="009F7625" w:rsidRDefault="003718CC"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Các quy trình liên quan đến hồ sơ xin gia hạn giấy phép đã được nộp theo Điều 14 trước ngày [vui lòng chèn ngày Quy định này có hiệu lực] và chưa có quyết định nào được đưa ra tính đến ngày đó, sẽ được hoàn tất theo quy định tại Điều 14 như nguyên trạng trước ngày đó. Tuy nhiên, các giấy phép gia hạn liên quan sẽ có giá trị vô thời hạn theo quy định tại Khoản 8 Điều 9.</w:t>
      </w:r>
      <w:r w:rsidR="003C1BEA"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8</w:t>
      </w:r>
      <w:r w:rsidR="003718CC" w:rsidRPr="009F7625">
        <w:rPr>
          <w:rFonts w:ascii="Times New Roman" w:eastAsia="Times New Roman" w:hAnsi="Times New Roman" w:cs="Times New Roman"/>
          <w:sz w:val="28"/>
          <w:szCs w:val="28"/>
        </w:rPr>
        <w:t xml:space="preserve">. Thay thế </w:t>
      </w:r>
      <w:r w:rsidRPr="009F7625">
        <w:rPr>
          <w:rFonts w:ascii="Times New Roman" w:eastAsia="Times New Roman" w:hAnsi="Times New Roman" w:cs="Times New Roman"/>
          <w:sz w:val="28"/>
          <w:szCs w:val="28"/>
        </w:rPr>
        <w:t xml:space="preserve">Điều 16 bằng </w:t>
      </w:r>
      <w:r w:rsidR="003718CC"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2101D"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w:t>
      </w:r>
      <w:r w:rsidR="003C1BEA" w:rsidRPr="009F7625">
        <w:rPr>
          <w:rFonts w:ascii="Times New Roman" w:eastAsia="Times New Roman" w:hAnsi="Times New Roman" w:cs="Times New Roman"/>
          <w:b/>
          <w:bCs/>
          <w:i/>
          <w:iCs/>
          <w:sz w:val="28"/>
          <w:szCs w:val="28"/>
        </w:rPr>
        <w:t>Điều 16</w:t>
      </w:r>
    </w:p>
    <w:p w:rsidR="003718CC" w:rsidRPr="009F7625" w:rsidRDefault="003718CC" w:rsidP="00603B23">
      <w:pPr>
        <w:shd w:val="clear" w:color="auto" w:fill="FFFFFF"/>
        <w:spacing w:after="0" w:line="360" w:lineRule="atLeast"/>
        <w:ind w:firstLine="709"/>
        <w:jc w:val="center"/>
        <w:rPr>
          <w:rFonts w:ascii="Times New Roman" w:eastAsia="Times New Roman" w:hAnsi="Times New Roman" w:cs="Times New Roman"/>
          <w:b/>
          <w:bCs/>
          <w:i/>
          <w:iCs/>
          <w:sz w:val="28"/>
          <w:szCs w:val="28"/>
        </w:rPr>
      </w:pPr>
      <w:r w:rsidRPr="009F7625">
        <w:rPr>
          <w:rFonts w:ascii="Times New Roman" w:eastAsia="Times New Roman" w:hAnsi="Times New Roman" w:cs="Times New Roman"/>
          <w:b/>
          <w:bCs/>
          <w:i/>
          <w:iCs/>
          <w:sz w:val="28"/>
          <w:szCs w:val="28"/>
        </w:rPr>
        <w:t xml:space="preserve">Ghi nhãn và đóng gói các chất phụ gia thức ăn chăn nuôi </w:t>
      </w:r>
    </w:p>
    <w:p w:rsidR="003C1BEA" w:rsidRPr="009F7625" w:rsidRDefault="003718CC"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và hỗn hợp bổ sung</w:t>
      </w:r>
    </w:p>
    <w:p w:rsidR="003C1BE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Người chịu trách nhiệm ghi nhãn là cơ sở kinh doanh thức ăn chăn nuôi được thành lập trong Liên minh, là bên đầu tiên đưa phụ gia thức ăn chăn nuôi hoặc hỗn hợp trộn sẵn các phụ gia ra thị trường; hoặc, khi áp dụng, là cơ sở kinh doanh thức ăn chăn nuôi mà dưới tên hoặc tên thương mại của họ phụ gia thức ăn chăn nuôi hoặc hỗn hợp trộn sẵn các phụ gia được đưa ra thị trường.</w:t>
      </w:r>
    </w:p>
    <w:p w:rsidR="003718CC"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 xml:space="preserve">Phụ gia thức ăn chăn nuôi hoặc hỗn hợp trộn sẵn các phụ gia không được đưa ra thị trường nếu trên bao bì hoặc vật chứa không gắn nhãn thể hiện các thông tin dưới đây một cách rõ ràng, dễ đọc, không thể tẩy xóa và bằng ít nhất một trong các ngôn ngữ chính thức của </w:t>
      </w:r>
      <w:r w:rsidR="00FE27DE" w:rsidRPr="009F7625">
        <w:rPr>
          <w:rFonts w:ascii="Times New Roman" w:eastAsia="Times New Roman" w:hAnsi="Times New Roman" w:cs="Times New Roman"/>
          <w:i/>
          <w:iCs/>
          <w:sz w:val="28"/>
          <w:szCs w:val="28"/>
        </w:rPr>
        <w:t xml:space="preserve">quốc </w:t>
      </w:r>
      <w:r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Pr="009F7625">
        <w:rPr>
          <w:rFonts w:ascii="Times New Roman" w:eastAsia="Times New Roman" w:hAnsi="Times New Roman" w:cs="Times New Roman"/>
          <w:i/>
          <w:iCs/>
          <w:sz w:val="28"/>
          <w:szCs w:val="28"/>
        </w:rPr>
        <w:t>viên nơi sản phẩm được đưa ra thị trường:</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Tên chất phụ gia phải ghi đúng theo tên trong giấy phép và phải có tên nhóm công dụng ghi ở phía trước.</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Ghi rõ tên và địa chỉ của người chịu trách nhiệm nhãn mác. Nếu người sản xuất không phải là người đứng tên trên nhãn, thì phải ghi thêm tên và địa chỉ của cả nhà sản xuất đó.</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c) Ghi trọng lượng tịnh (khối lượng thực) của sản phẩm. Riêng với hàng dạng lỏng, doanh nghiệp có thể chọn ghi theo thể tích tịnh hoặc trọng lượng tịnh đều được.</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d) Ghi mã số phê duyệt của cơ sở đưa sản phẩm ra thị trường; đồng thời, nếu có, số phê duyệt của cơ sở sản xuất phụ gia hoặc hỗn hợp trộn sẵn các phụ gia theo quy định tại Điều 10 của Quy định (EC) số 183/2005 của Nghị viện châu Âu và Hội đồng.</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e) Ghi đầy đủ </w:t>
      </w:r>
      <w:r w:rsidR="004C433A" w:rsidRPr="009F7625">
        <w:rPr>
          <w:rFonts w:ascii="Times New Roman" w:eastAsia="Times New Roman" w:hAnsi="Times New Roman" w:cs="Times New Roman"/>
          <w:i/>
          <w:iCs/>
          <w:sz w:val="28"/>
          <w:szCs w:val="28"/>
        </w:rPr>
        <w:t>hướng dẫn sử dụng; các quy định hoặc khuyến nghị về an toàn liên quan đến việc sử dụng và xử lý phụ gia hoặc hỗn hợp trộn sẵn các phụ gia theo nội dung quy định trong giấy phép, bao gồm cả loài vật nuôi và nhóm vật nuôi được phép sử dụng phụ gia hoặc hỗn hợp trộn sẵn các phụ gia; cùng các yêu cầu ghi nhãn cụ thể khác được quy định trong giấy phép.</w:t>
      </w:r>
      <w:r w:rsidRPr="009F7625">
        <w:rPr>
          <w:rFonts w:ascii="Times New Roman" w:eastAsia="Times New Roman" w:hAnsi="Times New Roman" w:cs="Times New Roman"/>
          <w:i/>
          <w:iCs/>
          <w:sz w:val="28"/>
          <w:szCs w:val="28"/>
        </w:rPr>
        <w:t>.</w:t>
      </w:r>
    </w:p>
    <w:p w:rsidR="008C04FA" w:rsidRPr="009F7625" w:rsidRDefault="008C04F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f) </w:t>
      </w:r>
      <w:r w:rsidR="004C433A" w:rsidRPr="009F7625">
        <w:rPr>
          <w:rFonts w:ascii="Times New Roman" w:eastAsia="Times New Roman" w:hAnsi="Times New Roman" w:cs="Times New Roman"/>
          <w:i/>
          <w:iCs/>
          <w:sz w:val="28"/>
          <w:szCs w:val="28"/>
        </w:rPr>
        <w:t>M</w:t>
      </w:r>
      <w:r w:rsidRPr="009F7625">
        <w:rPr>
          <w:rFonts w:ascii="Times New Roman" w:eastAsia="Times New Roman" w:hAnsi="Times New Roman" w:cs="Times New Roman"/>
          <w:i/>
          <w:iCs/>
          <w:sz w:val="28"/>
          <w:szCs w:val="28"/>
        </w:rPr>
        <w:t xml:space="preserve">ã số nhận </w:t>
      </w:r>
      <w:r w:rsidR="004C433A" w:rsidRPr="009F7625">
        <w:rPr>
          <w:rFonts w:ascii="Times New Roman" w:eastAsia="Times New Roman" w:hAnsi="Times New Roman" w:cs="Times New Roman"/>
          <w:i/>
          <w:iCs/>
          <w:sz w:val="28"/>
          <w:szCs w:val="28"/>
        </w:rPr>
        <w:t>dạng.</w:t>
      </w:r>
    </w:p>
    <w:p w:rsidR="004C433A" w:rsidRPr="009F7625" w:rsidRDefault="004C433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g) Số lô và ngày sản xuất.</w:t>
      </w:r>
    </w:p>
    <w:p w:rsidR="008C04FA" w:rsidRPr="009F7625" w:rsidRDefault="004C433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Đối với hỗn hợp trộn sẵn các phụ gia, các quy định tại điểm b, d, e và g không áp dụng đối với các phụ gia thức ăn chăn nuôi được phối trộn trong hỗn hợp đó.</w:t>
      </w:r>
    </w:p>
    <w:p w:rsidR="004C433A" w:rsidRPr="009F7625" w:rsidRDefault="004C433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Khác với quy định tại đoạn thứ nhất, các thông tin quy định tại điểm b, d và g có thể được cung cấp bằng phương thức điện tử.</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3. Đối với các chất tạo hương, thay vì phải liệt kê tên từng chất một, doanh nghiệp có thể ghi chung là 'hỗn hợp các chất tạo hương'. Tuy nhiên, nếu chất nào bị giới hạn liều lượng khi dùng trong thức ăn chăn nuôi thì vẫn phải ghi rõ tên chất đó chứ không được ghi chung.</w:t>
      </w:r>
    </w:p>
    <w:p w:rsidR="003C1BEA"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4.  Ngoài những thông tin cơ bản đã nêu, nếu chất phụ gia (hoặc hỗn hợp) thuộc các nhóm đặc biệt quy định tại Phụ lục III (Annex III), thì trên nhãn bắt buộc phải ghi thêm các thông tin chi tiết về hàm lượng và thành phần được quy </w:t>
      </w:r>
      <w:r w:rsidRPr="009F7625">
        <w:rPr>
          <w:rFonts w:ascii="Times New Roman" w:eastAsia="Times New Roman" w:hAnsi="Times New Roman" w:cs="Times New Roman"/>
          <w:i/>
          <w:iCs/>
          <w:sz w:val="28"/>
          <w:szCs w:val="28"/>
        </w:rPr>
        <w:lastRenderedPageBreak/>
        <w:t>định riêng cho nhóm đó. Các thông tin này cũng phải được in rõ ràng, nổi bật và không thể tẩy xóa.</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5. Trên nhãn phải ghi rõ từ 'Hỗn hợp bổ sung' (Premixture). Phải liệt kê tên các chất mang (tương tự như cách ghi nguyên liệu thức ăn chăn nuôi). Nếu dùng nước làm chất mang thì phải ghi thêm độ ẩm của hỗn hợp. Mỗi hỗn hợp chỉ được ghi duy nhất một hạn sử dụng chung – hạn này phải căn cứ theo chất có hạn dùng ngắn nhất trong hỗn hợp đó.</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6. Phụ gia và hỗn hợp bổ sung phải được bán trong bao bì hoặc bình chứa đóng kín. Cách đóng phải đảm bảo sao cho khi đã mở ra thì bộ phận niêm phong (như nắp, khóa, đường may) sẽ bị hư hỏng, không còn nguyên vẹn và không thể tái sử dụng lại như cũ được.</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7. Thông tin được cung cấp qua hình thức kỹ thuật số (như mã QR) phải đáp ứng 4 yêu cầu sau:</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a) Phải luôn có sẵn bản nhãn giấy vật lý để cung cấp ngay lập tức cho cơ quan chức năng khi họ yêu cầu.</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b) Thông tin qua mã QR phải truy cập được dễ dàng, trực tiếp và miễn phí trên mọi hệ điều hành (iOS, Android, Windows) và mọi trình duyệt web. Tuyệt đối không bắt người dùng phải đăng ký tài khoản, không bắt tải ứng dụng, không cần cài phần mềm hay nhập mật khẩu. Mọi khách hàng tại EU và các cơ quan kiểm tra đều phải xem được thông tin này một cách thuận tiện nhất.</w:t>
      </w:r>
    </w:p>
    <w:p w:rsidR="0032101D"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c) Thông tin sản phẩm phải được duy trì và cho phép truy cập liên tục trong vòng 2 năm kể từ ngày đưa hàng ra thị trường. Ngay cả khi công ty tạo ra nhãn đó bị phá sản, giải thể hoặc ngừng hoạt động tại EU, thông tin này vẫn phải được đảm bảo tồn tại để cơ quan chức năng kiểm tra.</w:t>
      </w:r>
    </w:p>
    <w:p w:rsidR="003C1BEA"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8. Ủy ban được trao quyền ban hành các văn bản ủy quyền theo quy định tại Điều 21a để sửa đổi Phụ lục III, nhằm xem xét các tiến bộ công nghệ và sự phát triển của khoa học</w:t>
      </w:r>
      <w:r w:rsidR="003C1BEA" w:rsidRPr="009F7625">
        <w:rPr>
          <w:rFonts w:ascii="Times New Roman" w:eastAsia="Times New Roman" w:hAnsi="Times New Roman" w:cs="Times New Roman"/>
          <w:i/>
          <w:iCs/>
          <w:sz w:val="28"/>
          <w:szCs w:val="28"/>
        </w:rPr>
        <w:t>.</w:t>
      </w:r>
    </w:p>
    <w:p w:rsidR="003C1BEA"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9. “Ủy ban được trao quyền ban hành các văn bản ủy quyền theo quy định tại Điều 21a nhằm bổ sung Quy định này thông qua việc thiết lập các quy định để tăng cường và tạo thuận lợi cho việc ghi nhãn bằng phương thức điện tử. Các quy định này có thể liên quan, đặc biệt, đến loại thông tin được cung cấp, bao gồm cả các thông tin quy định tại các khoản 2, 4 và 5, hoặc loại phương tiện điện tử có thể được sử dụng. Tuy nhiên, các thông tin thiết yếu và quan trọng về an toàn, như các thông tin được quy định trong giấy phép, vẫn phải được thể hiện trên nhãn gắn trên bao bì hoặc vật chứa theo quy định tại Khoản 2.”</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9</w:t>
      </w:r>
      <w:r w:rsidR="0032101D" w:rsidRPr="009F7625">
        <w:rPr>
          <w:rFonts w:ascii="Times New Roman" w:eastAsia="Times New Roman" w:hAnsi="Times New Roman" w:cs="Times New Roman"/>
          <w:sz w:val="28"/>
          <w:szCs w:val="28"/>
        </w:rPr>
        <w:t>.</w:t>
      </w:r>
      <w:r w:rsidRPr="009F7625">
        <w:rPr>
          <w:rFonts w:ascii="Times New Roman" w:eastAsia="Times New Roman" w:hAnsi="Times New Roman" w:cs="Times New Roman"/>
          <w:sz w:val="28"/>
          <w:szCs w:val="28"/>
        </w:rPr>
        <w:t xml:space="preserve"> Điều 21a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 xml:space="preserve">a) </w:t>
      </w:r>
      <w:r w:rsidR="0032101D" w:rsidRPr="009F7625">
        <w:rPr>
          <w:rFonts w:ascii="Times New Roman" w:eastAsia="Times New Roman" w:hAnsi="Times New Roman" w:cs="Times New Roman"/>
          <w:sz w:val="28"/>
          <w:szCs w:val="28"/>
        </w:rPr>
        <w:t>Thay thế Khoản 2 và Khoản</w:t>
      </w:r>
      <w:r w:rsidRPr="009F7625">
        <w:rPr>
          <w:rFonts w:ascii="Times New Roman" w:eastAsia="Times New Roman" w:hAnsi="Times New Roman" w:cs="Times New Roman"/>
          <w:sz w:val="28"/>
          <w:szCs w:val="28"/>
        </w:rPr>
        <w:t xml:space="preserve"> 3 bằng </w:t>
      </w:r>
      <w:r w:rsidR="0032101D"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"2. </w:t>
      </w:r>
      <w:r w:rsidR="0032101D" w:rsidRPr="009F7625">
        <w:rPr>
          <w:rFonts w:ascii="Times New Roman" w:eastAsia="Times New Roman" w:hAnsi="Times New Roman" w:cs="Times New Roman"/>
          <w:i/>
          <w:iCs/>
          <w:sz w:val="28"/>
          <w:szCs w:val="28"/>
        </w:rPr>
        <w:t>Thẩm quyền ban hành các văn bản ủy quyền quy định tại Khoản 5 Điều 3, Khoản 3 Điều 6, Khoản 5 Điều 7, Khoản 8 Điều 16 và Điều 21 được trao cho Ủy ban trong thời hạn năm năm kể từ ngày 26 tháng 7 năm 2019. Thẩm quyền ban hành các văn bản ủy quyền quy định tại khoản 9 Điều 16 được trao cho Ủy ban trong thời hạn năm năm kể từ ngày [đề nghị chèn ngày có hiệu lực của Quy định này]</w:t>
      </w:r>
      <w:r w:rsidRPr="009F7625">
        <w:rPr>
          <w:rFonts w:ascii="Times New Roman" w:eastAsia="Times New Roman" w:hAnsi="Times New Roman" w:cs="Times New Roman"/>
          <w:i/>
          <w:iCs/>
          <w:sz w:val="28"/>
          <w:szCs w:val="28"/>
        </w:rPr>
        <w:t>.</w:t>
      </w:r>
      <w:r w:rsidR="0032101D" w:rsidRPr="009F7625">
        <w:rPr>
          <w:rFonts w:ascii="Times New Roman" w:eastAsia="Times New Roman" w:hAnsi="Times New Roman" w:cs="Times New Roman"/>
          <w:i/>
          <w:iCs/>
          <w:sz w:val="28"/>
          <w:szCs w:val="28"/>
        </w:rPr>
        <w:t xml:space="preserve"> Ủy ban phải lập báo cáo về việc thực hiện thẩm quyền được trao chậm nhất chín tháng trước khi kết thúc mỗi giai đoạn năm năm. Việc trao thẩm quyền được tự động gia hạn thêm các giai đoạn có cùng thời hạn, trừ khi Nghị viện châu Âu hoặc Hội đồng phản đối việc gia hạn đó chậm nhất ba tháng trước khi kết thúc mỗi giai đoạn.</w:t>
      </w:r>
    </w:p>
    <w:p w:rsidR="003C1BEA" w:rsidRPr="009F7625" w:rsidRDefault="0032101D"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 xml:space="preserve">3. </w:t>
      </w:r>
      <w:r w:rsidR="009660B9" w:rsidRPr="009F7625">
        <w:rPr>
          <w:rFonts w:ascii="Times New Roman" w:eastAsia="Times New Roman" w:hAnsi="Times New Roman" w:cs="Times New Roman"/>
          <w:i/>
          <w:iCs/>
          <w:sz w:val="28"/>
          <w:szCs w:val="28"/>
        </w:rPr>
        <w:t>Thẩm quyền ban hành văn bản ủy quyền quy định tại khoản 5 Điều 3, khoản 3 Điều 6, khoản 5 Điều 7, khoản 8 và khoản 9 Điều 16 và Điều 21 có thể bị Nghị viện châu Âu hoặc Hội đồng thu hồi bất cứ lúc nào. Quyết định thu hồi sẽ chấm dứt việc trao thẩm quyền được nêu trong quyết định đó. Quyết định này có hiệu lực kể từ ngày tiếp theo sau ngày được công bố trên Công báo của Liên minh châu Âu hoặc vào thời điểm muộn hơn được nêu trong quyết định. Việc thu hồi này không ảnh hưởng đến hiệu lực của các văn bản ủy quyền đã có hiệu lực</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3F6F16"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6 bằng </w:t>
      </w:r>
      <w:r w:rsidR="003F6F16"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3F6F16" w:rsidRPr="009F7625">
        <w:rPr>
          <w:rFonts w:ascii="Times New Roman" w:eastAsia="Times New Roman" w:hAnsi="Times New Roman" w:cs="Times New Roman"/>
          <w:i/>
          <w:iCs/>
          <w:sz w:val="28"/>
          <w:szCs w:val="28"/>
        </w:rPr>
        <w:t>6. Văn bản ủy quyền được ban hành theo quy định tại Khoản 5 Điều 3, Khoản 3 Điều 6, Khoản 5 Điều 7, Khoản 8 và Khoản 9 Điều 16 và Điều 21 chỉ có hiệu lực nếu trong thời hạn hai tháng kể từ ngày văn bản đó được thông báo cho Nghị viện châu Âu và Hội đồng, và không có ý kiến phản đối nào được đưa ra bởi Nghị viện châu Âu hoặc Hội đồng; hoặc nếu trước khi kết thúc thời hạn đó, cả Nghị viện châu Âu và Hội đồng đều thông báo cho Ủy ban rằng họ không phản đối. Thời hạn này có thể được gia hạn thêm hai tháng theo đề nghị của Nghị viện châu Âu hoặc Hội đồng.</w:t>
      </w:r>
      <w:r w:rsidRPr="009F7625">
        <w:rPr>
          <w:rFonts w:ascii="Times New Roman" w:eastAsia="Times New Roman" w:hAnsi="Times New Roman" w:cs="Times New Roman"/>
          <w:i/>
          <w:iCs/>
          <w:sz w:val="28"/>
          <w:szCs w:val="28"/>
        </w:rPr>
        <w:t>"</w:t>
      </w:r>
    </w:p>
    <w:p w:rsidR="00F74411" w:rsidRPr="009F7625" w:rsidRDefault="00F744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7 </w:t>
      </w:r>
    </w:p>
    <w:p w:rsidR="003C1BEA" w:rsidRPr="009F7625" w:rsidRDefault="00F744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(EC) SỐ 852/2004</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số 852/2004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Điều 13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a)</w:t>
      </w:r>
      <w:r w:rsidR="00F74411" w:rsidRPr="009F7625">
        <w:rPr>
          <w:rFonts w:ascii="Times New Roman" w:eastAsia="Times New Roman" w:hAnsi="Times New Roman" w:cs="Times New Roman"/>
          <w:sz w:val="28"/>
          <w:szCs w:val="28"/>
        </w:rPr>
        <w:t xml:space="preserve"> Thay thế Khoản 3</w:t>
      </w:r>
      <w:r w:rsidRPr="009F7625">
        <w:rPr>
          <w:rFonts w:ascii="Times New Roman" w:eastAsia="Times New Roman" w:hAnsi="Times New Roman" w:cs="Times New Roman"/>
          <w:sz w:val="28"/>
          <w:szCs w:val="28"/>
        </w:rPr>
        <w:t xml:space="preserve"> bằng </w:t>
      </w:r>
      <w:r w:rsidR="00F74411"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"3. </w:t>
      </w:r>
      <w:r w:rsidR="00F74411" w:rsidRPr="009F7625">
        <w:rPr>
          <w:rFonts w:ascii="Times New Roman" w:eastAsia="Times New Roman" w:hAnsi="Times New Roman" w:cs="Times New Roman"/>
          <w:i/>
          <w:iCs/>
          <w:sz w:val="28"/>
          <w:szCs w:val="28"/>
        </w:rPr>
        <w:t xml:space="preserve">Các </w:t>
      </w:r>
      <w:r w:rsidR="00FE27DE" w:rsidRPr="009F7625">
        <w:rPr>
          <w:rFonts w:ascii="Times New Roman" w:eastAsia="Times New Roman" w:hAnsi="Times New Roman" w:cs="Times New Roman"/>
          <w:i/>
          <w:iCs/>
          <w:sz w:val="28"/>
          <w:szCs w:val="28"/>
        </w:rPr>
        <w:t xml:space="preserve">quốc </w:t>
      </w:r>
      <w:r w:rsidR="00F74411"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F74411" w:rsidRPr="009F7625">
        <w:rPr>
          <w:rFonts w:ascii="Times New Roman" w:eastAsia="Times New Roman" w:hAnsi="Times New Roman" w:cs="Times New Roman"/>
          <w:i/>
          <w:iCs/>
          <w:sz w:val="28"/>
          <w:szCs w:val="28"/>
        </w:rPr>
        <w:t>viên có thể ban hành các biện pháp quốc gia nhằm điều chỉnh việc áp dụng các yêu cầu quy định tại Phụ lục II, với điều kiện các biện pháp này không làm ảnh hưởng đến việc thực hiện các mục tiêu của Quy định này và phải tuân thủ quy định tại Khoản 4 và Khoản 5 của Điều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b)</w:t>
      </w:r>
      <w:r w:rsidR="00F74411" w:rsidRPr="009F7625">
        <w:rPr>
          <w:rFonts w:ascii="Times New Roman" w:eastAsia="Times New Roman" w:hAnsi="Times New Roman" w:cs="Times New Roman"/>
          <w:sz w:val="28"/>
          <w:szCs w:val="28"/>
        </w:rPr>
        <w:t xml:space="preserve"> Thay thế</w:t>
      </w:r>
      <w:r w:rsidR="00510C5A" w:rsidRPr="009F7625">
        <w:rPr>
          <w:rFonts w:ascii="Times New Roman" w:eastAsia="Times New Roman" w:hAnsi="Times New Roman" w:cs="Times New Roman"/>
          <w:sz w:val="28"/>
          <w:szCs w:val="28"/>
        </w:rPr>
        <w:t xml:space="preserve"> </w:t>
      </w:r>
      <w:r w:rsidR="00F74411"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5 bằng </w:t>
      </w:r>
      <w:r w:rsidR="00F74411"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F74411"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"5. </w:t>
      </w:r>
      <w:r w:rsidR="00F74411" w:rsidRPr="009F7625">
        <w:rPr>
          <w:rFonts w:ascii="Times New Roman" w:eastAsia="Times New Roman" w:hAnsi="Times New Roman" w:cs="Times New Roman"/>
          <w:i/>
          <w:iCs/>
          <w:sz w:val="28"/>
          <w:szCs w:val="28"/>
        </w:rPr>
        <w:t>Quốc gia thành viên có nhu cầu ban hành các biện pháp quốc gia quy định tại Khoản 3 phải thông báo cho Ủy ban theo thủ tục quy định tại Điều 5 và Điều 6 của Chỉ thị (EU) 2015/1535. Theo đó, thông báo này phải</w:t>
      </w:r>
      <w:r w:rsidRPr="009F7625">
        <w:rPr>
          <w:rFonts w:ascii="Times New Roman" w:eastAsia="Times New Roman" w:hAnsi="Times New Roman" w:cs="Times New Roman"/>
          <w:i/>
          <w:iCs/>
          <w:sz w:val="28"/>
          <w:szCs w:val="28"/>
        </w:rPr>
        <w:t>:</w:t>
      </w:r>
    </w:p>
    <w:p w:rsidR="00F74411"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F74411" w:rsidRPr="009F7625">
        <w:rPr>
          <w:rFonts w:ascii="Times New Roman" w:eastAsia="Times New Roman" w:hAnsi="Times New Roman" w:cs="Times New Roman"/>
          <w:i/>
          <w:iCs/>
          <w:sz w:val="28"/>
          <w:szCs w:val="28"/>
        </w:rPr>
        <w:t xml:space="preserve">Cung cấp mô tả chi tiết về các yêu cầu mà </w:t>
      </w:r>
      <w:r w:rsidR="00FE27DE" w:rsidRPr="009F7625">
        <w:rPr>
          <w:rFonts w:ascii="Times New Roman" w:eastAsia="Times New Roman" w:hAnsi="Times New Roman" w:cs="Times New Roman"/>
          <w:i/>
          <w:iCs/>
          <w:sz w:val="28"/>
          <w:szCs w:val="28"/>
        </w:rPr>
        <w:t xml:space="preserve">quốc </w:t>
      </w:r>
      <w:r w:rsidR="00F74411"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F74411" w:rsidRPr="009F7625">
        <w:rPr>
          <w:rFonts w:ascii="Times New Roman" w:eastAsia="Times New Roman" w:hAnsi="Times New Roman" w:cs="Times New Roman"/>
          <w:i/>
          <w:iCs/>
          <w:sz w:val="28"/>
          <w:szCs w:val="28"/>
        </w:rPr>
        <w:t>viên đó cho rằng cần được điều chỉnh và nội dung điều chỉnh dự kiến</w:t>
      </w:r>
      <w:r w:rsidRPr="009F7625">
        <w:rPr>
          <w:rFonts w:ascii="Times New Roman" w:eastAsia="Times New Roman" w:hAnsi="Times New Roman" w:cs="Times New Roman"/>
          <w:i/>
          <w:iCs/>
          <w:sz w:val="28"/>
          <w:szCs w:val="28"/>
        </w:rPr>
        <w:t>;</w:t>
      </w:r>
    </w:p>
    <w:p w:rsidR="00F74411"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F74411" w:rsidRPr="009F7625">
        <w:rPr>
          <w:rFonts w:ascii="Times New Roman" w:eastAsia="Times New Roman" w:hAnsi="Times New Roman" w:cs="Times New Roman"/>
          <w:i/>
          <w:iCs/>
          <w:sz w:val="28"/>
          <w:szCs w:val="28"/>
        </w:rPr>
        <w:t xml:space="preserve">Mô </w:t>
      </w:r>
      <w:r w:rsidRPr="009F7625">
        <w:rPr>
          <w:rFonts w:ascii="Times New Roman" w:eastAsia="Times New Roman" w:hAnsi="Times New Roman" w:cs="Times New Roman"/>
          <w:i/>
          <w:iCs/>
          <w:sz w:val="28"/>
          <w:szCs w:val="28"/>
        </w:rPr>
        <w:t>tả các thực phẩm và cơ sở liên quan;</w:t>
      </w:r>
    </w:p>
    <w:p w:rsidR="00F74411"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 </w:t>
      </w:r>
      <w:r w:rsidR="00F74411" w:rsidRPr="009F7625">
        <w:rPr>
          <w:rFonts w:ascii="Times New Roman" w:eastAsia="Times New Roman" w:hAnsi="Times New Roman" w:cs="Times New Roman"/>
          <w:i/>
          <w:iCs/>
          <w:sz w:val="28"/>
          <w:szCs w:val="28"/>
        </w:rPr>
        <w:t>Giải trình lý do cần điều chỉnh, bao gồm, khi cần thiết, việc cung cấp bản tóm tắt kết quả phân tích mối nguy đã thực hiện và các biện pháp dự kiến áp dụng nhằm bảo đảm rằng việc điều chỉnh này không làm ảnh hưởng đến các mục tiêu của Quy định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 xml:space="preserve">d) </w:t>
      </w:r>
      <w:r w:rsidR="00F74411" w:rsidRPr="009F7625">
        <w:rPr>
          <w:rFonts w:ascii="Times New Roman" w:eastAsia="Times New Roman" w:hAnsi="Times New Roman" w:cs="Times New Roman"/>
          <w:i/>
          <w:iCs/>
          <w:sz w:val="28"/>
          <w:szCs w:val="28"/>
        </w:rPr>
        <w:t xml:space="preserve">Cung </w:t>
      </w:r>
      <w:r w:rsidRPr="009F7625">
        <w:rPr>
          <w:rFonts w:ascii="Times New Roman" w:eastAsia="Times New Roman" w:hAnsi="Times New Roman" w:cs="Times New Roman"/>
          <w:i/>
          <w:iCs/>
          <w:sz w:val="28"/>
          <w:szCs w:val="28"/>
        </w:rPr>
        <w:t>cấp bất kỳ thông tin liên quan nào khác."</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c) </w:t>
      </w:r>
      <w:r w:rsidR="00F74411" w:rsidRPr="009F7625">
        <w:rPr>
          <w:rFonts w:ascii="Times New Roman" w:eastAsia="Times New Roman" w:hAnsi="Times New Roman" w:cs="Times New Roman"/>
          <w:sz w:val="28"/>
          <w:szCs w:val="28"/>
        </w:rPr>
        <w:t>Bãi bỏ Khoản 6 và Khoản 7</w:t>
      </w:r>
      <w:r w:rsidRPr="009F7625">
        <w:rPr>
          <w:rFonts w:ascii="Times New Roman" w:eastAsia="Times New Roman" w:hAnsi="Times New Roman" w:cs="Times New Roman"/>
          <w:sz w:val="28"/>
          <w:szCs w:val="28"/>
        </w:rPr>
        <w:t>.</w:t>
      </w:r>
    </w:p>
    <w:p w:rsidR="00F74411" w:rsidRPr="009F7625" w:rsidRDefault="00F744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ĐIỀU 8</w:t>
      </w:r>
    </w:p>
    <w:p w:rsidR="003C1BEA" w:rsidRPr="009F7625" w:rsidRDefault="00F744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(EC) SỐ 853/2004</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số 853/2004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Điều 10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90606F" w:rsidRPr="009F7625">
        <w:rPr>
          <w:rFonts w:ascii="Times New Roman" w:eastAsia="Times New Roman" w:hAnsi="Times New Roman" w:cs="Times New Roman"/>
          <w:sz w:val="28"/>
          <w:szCs w:val="28"/>
        </w:rPr>
        <w:t>Thay thế Khoản</w:t>
      </w:r>
      <w:r w:rsidRPr="009F7625">
        <w:rPr>
          <w:rFonts w:ascii="Times New Roman" w:eastAsia="Times New Roman" w:hAnsi="Times New Roman" w:cs="Times New Roman"/>
          <w:sz w:val="28"/>
          <w:szCs w:val="28"/>
        </w:rPr>
        <w:t xml:space="preserve"> 3 bằng </w:t>
      </w:r>
      <w:r w:rsidR="0090606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"3. </w:t>
      </w:r>
      <w:r w:rsidR="0090606F" w:rsidRPr="009F7625">
        <w:rPr>
          <w:rFonts w:ascii="Times New Roman" w:eastAsia="Times New Roman" w:hAnsi="Times New Roman" w:cs="Times New Roman"/>
          <w:i/>
          <w:iCs/>
          <w:sz w:val="28"/>
          <w:szCs w:val="28"/>
        </w:rPr>
        <w:t xml:space="preserve">Các </w:t>
      </w:r>
      <w:r w:rsidR="00FE27DE" w:rsidRPr="009F7625">
        <w:rPr>
          <w:rFonts w:ascii="Times New Roman" w:eastAsia="Times New Roman" w:hAnsi="Times New Roman" w:cs="Times New Roman"/>
          <w:i/>
          <w:iCs/>
          <w:sz w:val="28"/>
          <w:szCs w:val="28"/>
        </w:rPr>
        <w:t xml:space="preserve">quốc </w:t>
      </w:r>
      <w:r w:rsidR="0090606F"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90606F" w:rsidRPr="009F7625">
        <w:rPr>
          <w:rFonts w:ascii="Times New Roman" w:eastAsia="Times New Roman" w:hAnsi="Times New Roman" w:cs="Times New Roman"/>
          <w:i/>
          <w:iCs/>
          <w:sz w:val="28"/>
          <w:szCs w:val="28"/>
        </w:rPr>
        <w:t>viên có thể ban hành các biện pháp quốc gia nhằm điều chỉnh việc áp dụng các yêu cầu quy định tại Phụ lục III, với điều kiện không làm ảnh hưởng đến việc thực hiện các mục tiêu của Quy định này và phải tuân thủ quy định tại Khoản 4, Khoản 5 và Khoản 8 của Điều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90606F"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5 bằng </w:t>
      </w:r>
      <w:r w:rsidR="0090606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"5. </w:t>
      </w:r>
      <w:r w:rsidR="0090606F" w:rsidRPr="009F7625">
        <w:rPr>
          <w:rFonts w:ascii="Times New Roman" w:eastAsia="Times New Roman" w:hAnsi="Times New Roman" w:cs="Times New Roman"/>
          <w:i/>
          <w:iCs/>
          <w:sz w:val="28"/>
          <w:szCs w:val="28"/>
        </w:rPr>
        <w:t>Quốc gia thành viên có nhu cầu ban hành các biện pháp quốc gia quy định tại Khoản 3 phải thông báo cho Ủy ban theo thủ tục quy định tại Điều 5 và Điều 6 của Chỉ thị (EU) 2015/1535. Thông báo phải bao gồm các nội dung sau:</w:t>
      </w:r>
    </w:p>
    <w:p w:rsidR="0090606F"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90606F" w:rsidRPr="009F7625">
        <w:rPr>
          <w:rFonts w:ascii="Times New Roman" w:eastAsia="Times New Roman" w:hAnsi="Times New Roman" w:cs="Times New Roman"/>
          <w:i/>
          <w:iCs/>
          <w:sz w:val="28"/>
          <w:szCs w:val="28"/>
        </w:rPr>
        <w:t xml:space="preserve">Cung cấp mô tả chi tiết về các yêu cầu mà </w:t>
      </w:r>
      <w:r w:rsidR="00FE27DE" w:rsidRPr="009F7625">
        <w:rPr>
          <w:rFonts w:ascii="Times New Roman" w:eastAsia="Times New Roman" w:hAnsi="Times New Roman" w:cs="Times New Roman"/>
          <w:i/>
          <w:iCs/>
          <w:sz w:val="28"/>
          <w:szCs w:val="28"/>
        </w:rPr>
        <w:t xml:space="preserve">quốc </w:t>
      </w:r>
      <w:r w:rsidR="0090606F"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90606F" w:rsidRPr="009F7625">
        <w:rPr>
          <w:rFonts w:ascii="Times New Roman" w:eastAsia="Times New Roman" w:hAnsi="Times New Roman" w:cs="Times New Roman"/>
          <w:i/>
          <w:iCs/>
          <w:sz w:val="28"/>
          <w:szCs w:val="28"/>
        </w:rPr>
        <w:t>viên đó cho rằng cần được điều chỉnh, cũng như nội dung điều chỉnh dự kiến</w:t>
      </w:r>
      <w:r w:rsidRPr="009F7625">
        <w:rPr>
          <w:rFonts w:ascii="Times New Roman" w:eastAsia="Times New Roman" w:hAnsi="Times New Roman" w:cs="Times New Roman"/>
          <w:i/>
          <w:iCs/>
          <w:sz w:val="28"/>
          <w:szCs w:val="28"/>
        </w:rPr>
        <w:t>;</w:t>
      </w:r>
    </w:p>
    <w:p w:rsidR="0090606F"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90606F" w:rsidRPr="009F7625">
        <w:rPr>
          <w:rFonts w:ascii="Times New Roman" w:eastAsia="Times New Roman" w:hAnsi="Times New Roman" w:cs="Times New Roman"/>
          <w:i/>
          <w:iCs/>
          <w:sz w:val="28"/>
          <w:szCs w:val="28"/>
        </w:rPr>
        <w:t xml:space="preserve">Mô </w:t>
      </w:r>
      <w:r w:rsidRPr="009F7625">
        <w:rPr>
          <w:rFonts w:ascii="Times New Roman" w:eastAsia="Times New Roman" w:hAnsi="Times New Roman" w:cs="Times New Roman"/>
          <w:i/>
          <w:iCs/>
          <w:sz w:val="28"/>
          <w:szCs w:val="28"/>
        </w:rPr>
        <w:t>tả các thực phẩm và cơ sở liên quan;</w:t>
      </w:r>
    </w:p>
    <w:p w:rsidR="0090606F"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c) </w:t>
      </w:r>
      <w:r w:rsidR="0090606F" w:rsidRPr="009F7625">
        <w:rPr>
          <w:rFonts w:ascii="Times New Roman" w:eastAsia="Times New Roman" w:hAnsi="Times New Roman" w:cs="Times New Roman"/>
          <w:i/>
          <w:iCs/>
          <w:sz w:val="28"/>
          <w:szCs w:val="28"/>
        </w:rPr>
        <w:t>Giải trình lý do cần điều chỉnh, bao gồm, khi cần thiết, việc cung cấp bản tóm tắt kết quả phân tích mối nguy đã thực hiện và các biện pháp dự kiến áp dụng nhằm bảo đảm rằng việc điều chỉnh này không làm ảnh hưởng đến các mục tiêu của Quy định này</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d) </w:t>
      </w:r>
      <w:r w:rsidR="0090606F" w:rsidRPr="009F7625">
        <w:rPr>
          <w:rFonts w:ascii="Times New Roman" w:eastAsia="Times New Roman" w:hAnsi="Times New Roman" w:cs="Times New Roman"/>
          <w:i/>
          <w:iCs/>
          <w:sz w:val="28"/>
          <w:szCs w:val="28"/>
        </w:rPr>
        <w:t>Cung cấp bất kỳ thông tin liên quan nào khác.”</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lastRenderedPageBreak/>
        <w:t>c)</w:t>
      </w:r>
      <w:r w:rsidR="0090606F" w:rsidRPr="009F7625">
        <w:rPr>
          <w:rFonts w:ascii="Times New Roman" w:eastAsia="Times New Roman" w:hAnsi="Times New Roman" w:cs="Times New Roman"/>
          <w:sz w:val="28"/>
          <w:szCs w:val="28"/>
        </w:rPr>
        <w:t xml:space="preserve"> Bãi bỏKhoản 6 và Khoản 7</w:t>
      </w:r>
      <w:r w:rsidRPr="009F7625">
        <w:rPr>
          <w:rFonts w:ascii="Times New Roman" w:eastAsia="Times New Roman" w:hAnsi="Times New Roman" w:cs="Times New Roman"/>
          <w:sz w:val="28"/>
          <w:szCs w:val="28"/>
        </w:rPr>
        <w:t>.</w:t>
      </w:r>
    </w:p>
    <w:p w:rsidR="004F4B11" w:rsidRPr="009F7625" w:rsidRDefault="004F4B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9 </w:t>
      </w:r>
    </w:p>
    <w:p w:rsidR="003C1BEA" w:rsidRPr="009F7625" w:rsidRDefault="004F4B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(EC) SỐ 1099/2009</w:t>
      </w:r>
    </w:p>
    <w:p w:rsidR="003C1BEA" w:rsidRPr="009F7625" w:rsidRDefault="004F4B11"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Bãi bỏ</w:t>
      </w:r>
      <w:r w:rsidR="003C1BEA" w:rsidRPr="009F7625">
        <w:rPr>
          <w:rFonts w:ascii="Times New Roman" w:eastAsia="Times New Roman" w:hAnsi="Times New Roman" w:cs="Times New Roman"/>
          <w:sz w:val="28"/>
          <w:szCs w:val="28"/>
        </w:rPr>
        <w:t xml:space="preserve"> các </w:t>
      </w:r>
      <w:r w:rsidRPr="009F7625">
        <w:rPr>
          <w:rFonts w:ascii="Times New Roman" w:eastAsia="Times New Roman" w:hAnsi="Times New Roman" w:cs="Times New Roman"/>
          <w:sz w:val="28"/>
          <w:szCs w:val="28"/>
        </w:rPr>
        <w:t xml:space="preserve">Khoản </w:t>
      </w:r>
      <w:r w:rsidR="003C1BEA" w:rsidRPr="009F7625">
        <w:rPr>
          <w:rFonts w:ascii="Times New Roman" w:eastAsia="Times New Roman" w:hAnsi="Times New Roman" w:cs="Times New Roman"/>
          <w:sz w:val="28"/>
          <w:szCs w:val="28"/>
        </w:rPr>
        <w:t>4 và</w:t>
      </w:r>
      <w:r w:rsidRPr="009F7625">
        <w:rPr>
          <w:rFonts w:ascii="Times New Roman" w:eastAsia="Times New Roman" w:hAnsi="Times New Roman" w:cs="Times New Roman"/>
          <w:sz w:val="28"/>
          <w:szCs w:val="28"/>
        </w:rPr>
        <w:t xml:space="preserve"> Khoản</w:t>
      </w:r>
      <w:r w:rsidR="003C1BEA" w:rsidRPr="009F7625">
        <w:rPr>
          <w:rFonts w:ascii="Times New Roman" w:eastAsia="Times New Roman" w:hAnsi="Times New Roman" w:cs="Times New Roman"/>
          <w:sz w:val="28"/>
          <w:szCs w:val="28"/>
        </w:rPr>
        <w:t xml:space="preserve"> 6 Điều 18 </w:t>
      </w:r>
      <w:r w:rsidRPr="009F7625">
        <w:rPr>
          <w:rFonts w:ascii="Times New Roman" w:eastAsia="Times New Roman" w:hAnsi="Times New Roman" w:cs="Times New Roman"/>
          <w:sz w:val="28"/>
          <w:szCs w:val="28"/>
        </w:rPr>
        <w:t>tại Quy định (EC) số 1099/2009</w:t>
      </w:r>
      <w:r w:rsidR="003C1BEA" w:rsidRPr="009F7625">
        <w:rPr>
          <w:rFonts w:ascii="Times New Roman" w:eastAsia="Times New Roman" w:hAnsi="Times New Roman" w:cs="Times New Roman"/>
          <w:sz w:val="28"/>
          <w:szCs w:val="28"/>
        </w:rPr>
        <w:t>.</w:t>
      </w:r>
    </w:p>
    <w:p w:rsidR="004F4B11" w:rsidRPr="009F7625" w:rsidRDefault="004F4B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10 </w:t>
      </w:r>
    </w:p>
    <w:p w:rsidR="003C1BEA" w:rsidRPr="009F7625" w:rsidRDefault="004F4B11" w:rsidP="00603B23">
      <w:pPr>
        <w:shd w:val="clear" w:color="auto" w:fill="FFFFFF"/>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SỬA ĐỔI QUY ĐỊNH (EC) SỐ 999/2001</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(EC) 999/2009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w:t>
      </w:r>
      <w:r w:rsidR="00FF082F" w:rsidRPr="009F7625">
        <w:rPr>
          <w:rFonts w:ascii="Times New Roman" w:eastAsia="Times New Roman" w:hAnsi="Times New Roman" w:cs="Times New Roman"/>
          <w:sz w:val="28"/>
          <w:szCs w:val="28"/>
        </w:rPr>
        <w:t xml:space="preserve">. </w:t>
      </w:r>
      <w:r w:rsidR="004F4B11" w:rsidRPr="009F7625">
        <w:rPr>
          <w:rFonts w:ascii="Times New Roman" w:eastAsia="Times New Roman" w:hAnsi="Times New Roman" w:cs="Times New Roman"/>
          <w:sz w:val="28"/>
          <w:szCs w:val="28"/>
        </w:rPr>
        <w:t xml:space="preserve">Thay thế Khoản 3 </w:t>
      </w:r>
      <w:r w:rsidRPr="009F7625">
        <w:rPr>
          <w:rFonts w:ascii="Times New Roman" w:eastAsia="Times New Roman" w:hAnsi="Times New Roman" w:cs="Times New Roman"/>
          <w:sz w:val="28"/>
          <w:szCs w:val="28"/>
        </w:rPr>
        <w:t xml:space="preserve">Điều 5 bằng </w:t>
      </w:r>
      <w:r w:rsidR="004F4B11" w:rsidRPr="009F7625">
        <w:rPr>
          <w:rFonts w:ascii="Times New Roman" w:eastAsia="Times New Roman" w:hAnsi="Times New Roman" w:cs="Times New Roman"/>
          <w:sz w:val="28"/>
          <w:szCs w:val="28"/>
        </w:rPr>
        <w:t>nội dung</w:t>
      </w:r>
      <w:r w:rsidRPr="009F7625">
        <w:rPr>
          <w:rFonts w:ascii="Times New Roman" w:eastAsia="Times New Roman" w:hAnsi="Times New Roman" w:cs="Times New Roman"/>
          <w:sz w:val="28"/>
          <w:szCs w:val="28"/>
        </w:rPr>
        <w:t xml:space="preserve">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4F4B11" w:rsidRPr="009F7625">
        <w:rPr>
          <w:rFonts w:ascii="Times New Roman" w:eastAsia="Times New Roman" w:hAnsi="Times New Roman" w:cs="Times New Roman"/>
          <w:i/>
          <w:iCs/>
          <w:sz w:val="28"/>
          <w:szCs w:val="28"/>
        </w:rPr>
        <w:t>Ủy ban được trao quyền ban hành các văn bản ủy quyền theo quy định tại Điều 23b nhằm phê duyệt các phương pháp thử nhanh và sửa đổi danh mục quy định tại điểm 4 Mục C Chương X của Phụ lục X.</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FF082F"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6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FF082F" w:rsidRPr="009F7625">
        <w:rPr>
          <w:rFonts w:ascii="Times New Roman" w:eastAsia="Times New Roman" w:hAnsi="Times New Roman" w:cs="Times New Roman"/>
          <w:sz w:val="28"/>
          <w:szCs w:val="28"/>
        </w:rPr>
        <w:t>Thay thế Khoản 1 bằng nội dung sau</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w:t>
      </w:r>
      <w:r w:rsidR="00FF082F" w:rsidRPr="009F7625">
        <w:rPr>
          <w:rFonts w:ascii="Times New Roman" w:hAnsi="Times New Roman" w:cs="Times New Roman"/>
          <w:i/>
          <w:iCs/>
        </w:rPr>
        <w:t>.</w:t>
      </w:r>
      <w:r w:rsidR="00FF082F" w:rsidRPr="009F7625">
        <w:rPr>
          <w:rFonts w:ascii="Times New Roman" w:eastAsia="Times New Roman" w:hAnsi="Times New Roman" w:cs="Times New Roman"/>
          <w:i/>
          <w:iCs/>
          <w:sz w:val="28"/>
          <w:szCs w:val="28"/>
        </w:rPr>
        <w:t xml:space="preserve"> Mỗi </w:t>
      </w:r>
      <w:r w:rsidR="00FE27DE" w:rsidRPr="009F7625">
        <w:rPr>
          <w:rFonts w:ascii="Times New Roman" w:eastAsia="Times New Roman" w:hAnsi="Times New Roman" w:cs="Times New Roman"/>
          <w:i/>
          <w:iCs/>
          <w:sz w:val="28"/>
          <w:szCs w:val="28"/>
        </w:rPr>
        <w:t xml:space="preserve">quốc </w:t>
      </w:r>
      <w:r w:rsidR="00FF082F"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FF082F" w:rsidRPr="009F7625">
        <w:rPr>
          <w:rFonts w:ascii="Times New Roman" w:eastAsia="Times New Roman" w:hAnsi="Times New Roman" w:cs="Times New Roman"/>
          <w:i/>
          <w:iCs/>
          <w:sz w:val="28"/>
          <w:szCs w:val="28"/>
        </w:rPr>
        <w:t>viên phải thực hiện chương trình giám sát TSE h</w:t>
      </w:r>
      <w:r w:rsidR="00510C5A" w:rsidRPr="009F7625">
        <w:rPr>
          <w:rFonts w:ascii="Times New Roman" w:eastAsia="Times New Roman" w:hAnsi="Times New Roman" w:cs="Times New Roman"/>
          <w:i/>
          <w:iCs/>
          <w:sz w:val="28"/>
          <w:szCs w:val="28"/>
        </w:rPr>
        <w:t>à</w:t>
      </w:r>
      <w:r w:rsidR="00FF082F" w:rsidRPr="009F7625">
        <w:rPr>
          <w:rFonts w:ascii="Times New Roman" w:eastAsia="Times New Roman" w:hAnsi="Times New Roman" w:cs="Times New Roman"/>
          <w:i/>
          <w:iCs/>
          <w:sz w:val="28"/>
          <w:szCs w:val="28"/>
        </w:rPr>
        <w:t>ng năm trên cơ sở hoạt động giám sát theo quy định tại Phụ lục III.</w:t>
      </w:r>
    </w:p>
    <w:p w:rsidR="003C1BEA" w:rsidRPr="009F7625" w:rsidRDefault="00FF082F"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Ủy ban được trao quyền ban hành các văn bản ủy quyền theo quy định tại Điều 23b nhằm phê duyệt các phương pháp thử nhanh. Ủy ban cũng được trao quyền ban hành các văn bản ủy quyền theo quy định tại Điều 23b để sửa đổi Phụ lục X nhằm bổ sung các phương pháp thử này vào danh mục quy định</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b)</w:t>
      </w:r>
      <w:r w:rsidR="00FF082F" w:rsidRPr="009F7625">
        <w:rPr>
          <w:rFonts w:ascii="Times New Roman" w:eastAsia="Times New Roman" w:hAnsi="Times New Roman" w:cs="Times New Roman"/>
          <w:sz w:val="28"/>
          <w:szCs w:val="28"/>
        </w:rPr>
        <w:t xml:space="preserve"> Thay thế</w:t>
      </w:r>
      <w:r w:rsidR="00510C5A" w:rsidRPr="009F7625">
        <w:rPr>
          <w:rFonts w:ascii="Times New Roman" w:eastAsia="Times New Roman" w:hAnsi="Times New Roman" w:cs="Times New Roman"/>
          <w:sz w:val="28"/>
          <w:szCs w:val="28"/>
        </w:rPr>
        <w:t xml:space="preserve"> </w:t>
      </w:r>
      <w:r w:rsidR="00FF082F"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1a bằng </w:t>
      </w:r>
      <w:r w:rsidR="00FF082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FF082F" w:rsidRPr="009F7625">
        <w:rPr>
          <w:rFonts w:ascii="Times New Roman" w:eastAsia="Times New Roman" w:hAnsi="Times New Roman" w:cs="Times New Roman"/>
          <w:i/>
          <w:iCs/>
          <w:sz w:val="28"/>
          <w:szCs w:val="28"/>
        </w:rPr>
        <w:t>1a. Chương trình giám sát hằng năm phải bao quát tất cả các nhóm động vật được liệt kê tại Phụ lục III. Ủy ban Châu Âu có quyền sửa đổi danh sách này dựa trên các tiến bộ khoa học mới nhất, sau khi đã tham khảo ý kiến chuyên môn của Cơ quan An toàn Thực phẩm Châu Âu (EFSA).”</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c)</w:t>
      </w:r>
      <w:r w:rsidR="00FF082F" w:rsidRPr="009F7625">
        <w:rPr>
          <w:rFonts w:ascii="Times New Roman" w:eastAsia="Times New Roman" w:hAnsi="Times New Roman" w:cs="Times New Roman"/>
          <w:sz w:val="28"/>
          <w:szCs w:val="28"/>
        </w:rPr>
        <w:t xml:space="preserve"> Bãi bỏ câu đầu tiên điểm 1 Khoản b</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FF082F"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8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FF082F"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1 được sửa đổi như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"1. </w:t>
      </w:r>
      <w:r w:rsidR="00FF082F" w:rsidRPr="009F7625">
        <w:rPr>
          <w:rFonts w:ascii="Times New Roman" w:eastAsia="Times New Roman" w:hAnsi="Times New Roman" w:cs="Times New Roman"/>
          <w:i/>
          <w:iCs/>
          <w:sz w:val="28"/>
          <w:szCs w:val="28"/>
        </w:rPr>
        <w:t>Vật liệu nguy cơ đặc thù phải được loại bỏ theo quy định tại Phụ lục V của Quy định này và được xử lý theo quy định tại Quy định (EC) số 1069/2009</w:t>
      </w:r>
      <w:r w:rsidRPr="009F7625">
        <w:rPr>
          <w:rFonts w:ascii="Times New Roman" w:eastAsia="Times New Roman" w:hAnsi="Times New Roman" w:cs="Times New Roman"/>
          <w:i/>
          <w:iCs/>
          <w:sz w:val="28"/>
          <w:szCs w:val="28"/>
        </w:rPr>
        <w:t>.</w:t>
      </w:r>
    </w:p>
    <w:p w:rsidR="003C1BEA" w:rsidRPr="009F7625" w:rsidRDefault="00FF082F"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Ủy ban được trao quyền ban hành các văn bản ủy quyền theo quy định tại Điều 23b để sửa đổi danh mục vật liệu nguy cơ đặc thù quy định tại Phụ lục V. Trên cơ sở xem xét các mức độ rủi ro khác nhau quy định tại đoạn thứ nhất Khoản 1 Điều 5 và các yêu cầu quy định tại Khoản 1a và Điểm (b) Khoản 1b Điều 6, danh mục vật liệu nguy cơ đặc thù tại Phụ lục V phải được sửa đổi tương ứng</w:t>
      </w:r>
      <w:r w:rsidR="003C1BEA" w:rsidRPr="009F7625">
        <w:rPr>
          <w:rFonts w:ascii="Times New Roman" w:eastAsia="Times New Roman" w:hAnsi="Times New Roman" w:cs="Times New Roman"/>
          <w:i/>
          <w:iCs/>
          <w:sz w:val="28"/>
          <w:szCs w:val="28"/>
        </w:rPr>
        <w:t>.</w:t>
      </w:r>
    </w:p>
    <w:p w:rsidR="003C1BEA" w:rsidRPr="009F7625" w:rsidRDefault="00FF082F"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Vật liệu nguy cơ đặc thù quy định tại đoạn thứ nhất không được phép nhập khẩu vào Liên minh</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b)</w:t>
      </w:r>
      <w:r w:rsidR="00FF082F" w:rsidRPr="009F7625">
        <w:rPr>
          <w:rFonts w:ascii="Times New Roman" w:eastAsia="Times New Roman" w:hAnsi="Times New Roman" w:cs="Times New Roman"/>
          <w:sz w:val="28"/>
          <w:szCs w:val="28"/>
        </w:rPr>
        <w:t xml:space="preserve"> Thay thế câu đầu tiên Khoản 2</w:t>
      </w:r>
      <w:r w:rsidRPr="009F7625">
        <w:rPr>
          <w:rFonts w:ascii="Times New Roman" w:eastAsia="Times New Roman" w:hAnsi="Times New Roman" w:cs="Times New Roman"/>
          <w:sz w:val="28"/>
          <w:szCs w:val="28"/>
        </w:rPr>
        <w:t xml:space="preserve"> bằng </w:t>
      </w:r>
      <w:r w:rsidR="00FF082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FF082F" w:rsidRPr="009F7625">
        <w:rPr>
          <w:rFonts w:ascii="Times New Roman" w:eastAsia="Times New Roman" w:hAnsi="Times New Roman" w:cs="Times New Roman"/>
          <w:i/>
          <w:iCs/>
          <w:sz w:val="28"/>
          <w:szCs w:val="28"/>
        </w:rPr>
        <w:t>Ủy ban được trao quyền ban hành các văn bản ủy quyền theo quy định tại Điều 23b để sửa đổi danh mục các phương pháp thử thay thế đã được phê duyệt nhằm phát hiện BSE trước khi giết mổ, quy định tại Phụ lục X</w:t>
      </w:r>
      <w:r w:rsidRPr="009F7625">
        <w:rPr>
          <w:rFonts w:ascii="Times New Roman" w:eastAsia="Times New Roman" w:hAnsi="Times New Roman" w:cs="Times New Roman"/>
          <w:i/>
          <w:iCs/>
          <w:sz w:val="28"/>
          <w:szCs w:val="28"/>
        </w:rPr>
        <w:t>.</w:t>
      </w:r>
      <w:r w:rsidR="00FF082F" w:rsidRPr="009F7625">
        <w:rPr>
          <w:rFonts w:ascii="Times New Roman" w:eastAsia="Times New Roman" w:hAnsi="Times New Roman" w:cs="Times New Roman"/>
          <w:i/>
          <w:iCs/>
          <w:sz w:val="28"/>
          <w:szCs w:val="28"/>
        </w:rPr>
        <w:t xml:space="preserve"> Khoản 1 của Điều này không áp dụng đối với các mô của động vật đã được kiểm tra bằng phương pháp thử thay thế, với điều kiện phương pháp thử đó được thực hiện theo các điều kiện quy định tại Phụ lục V và cho kết quả âm tính.</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c)</w:t>
      </w:r>
      <w:r w:rsidR="00FF082F" w:rsidRPr="009F7625">
        <w:rPr>
          <w:rFonts w:ascii="Times New Roman" w:eastAsia="Times New Roman" w:hAnsi="Times New Roman" w:cs="Times New Roman"/>
          <w:sz w:val="28"/>
          <w:szCs w:val="28"/>
        </w:rPr>
        <w:t xml:space="preserve"> Thay thế</w:t>
      </w:r>
      <w:r w:rsidR="00510C5A" w:rsidRPr="009F7625">
        <w:rPr>
          <w:rFonts w:ascii="Times New Roman" w:eastAsia="Times New Roman" w:hAnsi="Times New Roman" w:cs="Times New Roman"/>
          <w:sz w:val="28"/>
          <w:szCs w:val="28"/>
        </w:rPr>
        <w:t xml:space="preserve"> </w:t>
      </w:r>
      <w:r w:rsidR="00FF082F" w:rsidRPr="009F7625">
        <w:rPr>
          <w:rFonts w:ascii="Times New Roman" w:eastAsia="Times New Roman" w:hAnsi="Times New Roman" w:cs="Times New Roman"/>
          <w:sz w:val="28"/>
          <w:szCs w:val="28"/>
        </w:rPr>
        <w:t xml:space="preserve">Khoản </w:t>
      </w:r>
      <w:r w:rsidRPr="009F7625">
        <w:rPr>
          <w:rFonts w:ascii="Times New Roman" w:eastAsia="Times New Roman" w:hAnsi="Times New Roman" w:cs="Times New Roman"/>
          <w:sz w:val="28"/>
          <w:szCs w:val="28"/>
        </w:rPr>
        <w:t xml:space="preserve">5 bằng </w:t>
      </w:r>
      <w:r w:rsidR="00FF082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FF082F"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“5. Ủy ban được trao quyền ban hành các văn bản ủy quyền theo quy định tại Điều 23b để sửa đổi các quy định về miễn trừ quy định tại các Khoản 1 đến Khoản 4 của Điều này. Việc sửa đổi có thể liên quan đến ngày bắt đầu có hiệu lực của lệnh cấm sử dụng thức ăn quy định tại Khoản 1 Điều 7 hoặc, đối với các nước thứ ba hoặc các vùng của các nước đó được xếp loại có nguy cơ BSE được kiểm soát, liên quan đến ngày bắt đầu có hiệu lực của lệnh cấm sử dụng protein từ động vật nhai lại trong thức ăn cho động vật nhai lại. Việc sửa đổi này nhằm giới hạn yêu cầu loại bỏ và tiêu hủy vật liệu nguy cơ đặc thù chỉ áp dụng đối với các động vật được sinh ra trước ngày nêu trên tại các quốc gia hoặc vùng lãnh thổ liên quan.</w:t>
      </w:r>
      <w:r w:rsidR="003C1BEA"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4</w:t>
      </w:r>
      <w:r w:rsidR="003D1204"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16 được sửa đổi như sau:</w:t>
      </w:r>
    </w:p>
    <w:p w:rsidR="00B812CF"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B812CF" w:rsidRPr="009F7625">
        <w:rPr>
          <w:rFonts w:ascii="Times New Roman" w:eastAsia="Times New Roman" w:hAnsi="Times New Roman" w:cs="Times New Roman"/>
          <w:sz w:val="28"/>
          <w:szCs w:val="28"/>
        </w:rPr>
        <w:t xml:space="preserve">Thay thế điểm b Khoản 1 </w:t>
      </w:r>
      <w:r w:rsidRPr="009F7625">
        <w:rPr>
          <w:rFonts w:ascii="Times New Roman" w:eastAsia="Times New Roman" w:hAnsi="Times New Roman" w:cs="Times New Roman"/>
          <w:sz w:val="28"/>
          <w:szCs w:val="28"/>
        </w:rPr>
        <w:t xml:space="preserve">bằng </w:t>
      </w:r>
      <w:r w:rsidR="00B812CF"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 xml:space="preserve">sau: </w:t>
      </w:r>
    </w:p>
    <w:p w:rsidR="003D1204"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B812CF" w:rsidRPr="009F7625">
        <w:rPr>
          <w:rFonts w:ascii="Times New Roman" w:eastAsia="Times New Roman" w:hAnsi="Times New Roman" w:cs="Times New Roman"/>
          <w:i/>
          <w:iCs/>
          <w:sz w:val="28"/>
          <w:szCs w:val="28"/>
        </w:rPr>
        <w:t xml:space="preserve">Sữa </w:t>
      </w:r>
      <w:r w:rsidRPr="009F7625">
        <w:rPr>
          <w:rFonts w:ascii="Times New Roman" w:eastAsia="Times New Roman" w:hAnsi="Times New Roman" w:cs="Times New Roman"/>
          <w:i/>
          <w:iCs/>
          <w:sz w:val="28"/>
          <w:szCs w:val="28"/>
        </w:rPr>
        <w:t>và các sản phẩm từ sữa, da</w:t>
      </w:r>
      <w:r w:rsidR="00B812CF" w:rsidRPr="009F7625">
        <w:rPr>
          <w:rFonts w:ascii="Times New Roman" w:eastAsia="Times New Roman" w:hAnsi="Times New Roman" w:cs="Times New Roman"/>
          <w:i/>
          <w:iCs/>
          <w:sz w:val="28"/>
          <w:szCs w:val="28"/>
        </w:rPr>
        <w:t xml:space="preserve"> thuộc</w:t>
      </w:r>
      <w:r w:rsidRPr="009F7625">
        <w:rPr>
          <w:rFonts w:ascii="Times New Roman" w:eastAsia="Times New Roman" w:hAnsi="Times New Roman" w:cs="Times New Roman"/>
          <w:i/>
          <w:iCs/>
          <w:sz w:val="28"/>
          <w:szCs w:val="28"/>
        </w:rPr>
        <w:t xml:space="preserve"> và da sống</w:t>
      </w:r>
      <w:r w:rsidR="00B812CF" w:rsidRPr="009F7625">
        <w:rPr>
          <w:rFonts w:ascii="Times New Roman" w:eastAsia="Times New Roman" w:hAnsi="Times New Roman" w:cs="Times New Roman"/>
          <w:i/>
          <w:iCs/>
          <w:sz w:val="28"/>
          <w:szCs w:val="28"/>
        </w:rPr>
        <w:t xml:space="preserve">; </w:t>
      </w:r>
      <w:r w:rsidRPr="009F7625">
        <w:rPr>
          <w:rFonts w:ascii="Times New Roman" w:eastAsia="Times New Roman" w:hAnsi="Times New Roman" w:cs="Times New Roman"/>
          <w:i/>
          <w:iCs/>
          <w:sz w:val="28"/>
          <w:szCs w:val="28"/>
        </w:rPr>
        <w:t>gelatin và collagen;"</w:t>
      </w:r>
    </w:p>
    <w:p w:rsidR="00FA1C6C"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b)</w:t>
      </w:r>
      <w:r w:rsidR="00FA1C6C" w:rsidRPr="009F7625">
        <w:rPr>
          <w:rFonts w:ascii="Times New Roman" w:eastAsia="Times New Roman" w:hAnsi="Times New Roman" w:cs="Times New Roman"/>
          <w:sz w:val="28"/>
          <w:szCs w:val="28"/>
        </w:rPr>
        <w:t xml:space="preserve"> Thay thế câu đầu tiên Khoản 7 bằng nội dung sau:</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"7. </w:t>
      </w:r>
      <w:r w:rsidR="00FA1C6C" w:rsidRPr="009F7625">
        <w:rPr>
          <w:rFonts w:ascii="Times New Roman" w:eastAsia="Times New Roman" w:hAnsi="Times New Roman" w:cs="Times New Roman"/>
          <w:i/>
          <w:iCs/>
          <w:sz w:val="28"/>
          <w:szCs w:val="28"/>
        </w:rPr>
        <w:t>Ủy ban được trao quyền ban hành các văn bản ủy quyền theo quy định tại Điều 23b nhằm bổ sung Quy định này để điều chỉnh các quy định tại các Khoản 1 đến Khoản 6.</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5</w:t>
      </w:r>
      <w:r w:rsidR="004C00AB" w:rsidRPr="009F7625">
        <w:rPr>
          <w:rFonts w:ascii="Times New Roman" w:eastAsia="Times New Roman" w:hAnsi="Times New Roman" w:cs="Times New Roman"/>
          <w:sz w:val="28"/>
          <w:szCs w:val="28"/>
        </w:rPr>
        <w:t>. Bổ sung mới Khoản 3</w:t>
      </w:r>
      <w:r w:rsidRPr="009F7625">
        <w:rPr>
          <w:rFonts w:ascii="Times New Roman" w:eastAsia="Times New Roman" w:hAnsi="Times New Roman" w:cs="Times New Roman"/>
          <w:sz w:val="28"/>
          <w:szCs w:val="28"/>
        </w:rPr>
        <w:t xml:space="preserve"> Điều 23,</w:t>
      </w:r>
      <w:r w:rsidR="004C00AB" w:rsidRPr="009F7625">
        <w:rPr>
          <w:rFonts w:ascii="Times New Roman" w:eastAsia="Times New Roman" w:hAnsi="Times New Roman" w:cs="Times New Roman"/>
          <w:sz w:val="28"/>
          <w:szCs w:val="28"/>
        </w:rPr>
        <w:t xml:space="preserve"> cụ thể</w:t>
      </w:r>
      <w:r w:rsidRPr="009F7625">
        <w:rPr>
          <w:rFonts w:ascii="Times New Roman" w:eastAsia="Times New Roman" w:hAnsi="Times New Roman" w:cs="Times New Roman"/>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4C00AB" w:rsidRPr="009F7625">
        <w:rPr>
          <w:rFonts w:ascii="Times New Roman" w:eastAsia="Times New Roman" w:hAnsi="Times New Roman" w:cs="Times New Roman"/>
          <w:i/>
          <w:iCs/>
          <w:sz w:val="28"/>
          <w:szCs w:val="28"/>
        </w:rPr>
        <w:t>3. Không ảnh hưởng đến quy định tại Khoản 1 và Khoản 2, Ủy ban được trao quyền ban hành các văn bản ủy quyền theo quy định tại Điều 23b để sửa đổi các Phụ lục. Việc sửa đổi nhằm điều chỉnh các quy định trong các Phụ lục này cho phù hợp với sự thay đổi của tình hình dịch tễ, sự phát triển của kiến thức khoa học hiện có, các tiêu chuẩn quốc tế có liên quan, các phương pháp phân tích sẵn có phục vụ kiểm soát chính thức, hoặc kết quả của các hoạt động kiểm soát hoặc các nghiên cứu về việc thực hiện các quy định đó, đồng thời phải xem xét các tiêu chí sau đây</w:t>
      </w:r>
      <w:r w:rsidRPr="009F7625">
        <w:rPr>
          <w:rFonts w:ascii="Times New Roman" w:eastAsia="Times New Roman" w:hAnsi="Times New Roman" w:cs="Times New Roman"/>
          <w:i/>
          <w:iCs/>
          <w:sz w:val="28"/>
          <w:szCs w:val="28"/>
        </w:rPr>
        <w:t>:</w:t>
      </w:r>
    </w:p>
    <w:p w:rsidR="004C00AB"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 xml:space="preserve">i. </w:t>
      </w:r>
      <w:r w:rsidR="004C00AB" w:rsidRPr="009F7625">
        <w:rPr>
          <w:rFonts w:ascii="Times New Roman" w:eastAsia="Times New Roman" w:hAnsi="Times New Roman" w:cs="Times New Roman"/>
          <w:i/>
          <w:iCs/>
          <w:sz w:val="28"/>
          <w:szCs w:val="28"/>
        </w:rPr>
        <w:t>K</w:t>
      </w:r>
      <w:r w:rsidRPr="009F7625">
        <w:rPr>
          <w:rFonts w:ascii="Times New Roman" w:eastAsia="Times New Roman" w:hAnsi="Times New Roman" w:cs="Times New Roman"/>
          <w:i/>
          <w:iCs/>
          <w:sz w:val="28"/>
          <w:szCs w:val="28"/>
        </w:rPr>
        <w:t>ết luận của ý kiến Cơ quan sẵn có</w:t>
      </w:r>
      <w:r w:rsidR="004C00AB" w:rsidRPr="009F7625">
        <w:rPr>
          <w:rFonts w:ascii="Times New Roman" w:eastAsia="Times New Roman" w:hAnsi="Times New Roman" w:cs="Times New Roman"/>
          <w:i/>
          <w:iCs/>
          <w:sz w:val="28"/>
          <w:szCs w:val="28"/>
        </w:rPr>
        <w:t xml:space="preserve"> trong trường hợp cần thiết</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 xml:space="preserve">ii. </w:t>
      </w:r>
      <w:r w:rsidR="004C00AB" w:rsidRPr="009F7625">
        <w:rPr>
          <w:rFonts w:ascii="Times New Roman" w:eastAsia="Times New Roman" w:hAnsi="Times New Roman" w:cs="Times New Roman"/>
          <w:i/>
          <w:iCs/>
          <w:sz w:val="28"/>
          <w:szCs w:val="28"/>
        </w:rPr>
        <w:t>Yêu cầu duy trì mức độ bảo vệ cao đối với sức khỏe con người và động vật trong Liên minh</w:t>
      </w:r>
      <w:r w:rsidRPr="009F7625">
        <w:rPr>
          <w:rFonts w:ascii="Times New Roman" w:eastAsia="Times New Roman" w:hAnsi="Times New Roman" w:cs="Times New Roman"/>
          <w:i/>
          <w:iCs/>
          <w:sz w:val="28"/>
          <w:szCs w:val="28"/>
        </w:rPr>
        <w:t>."</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6</w:t>
      </w:r>
      <w:r w:rsidR="00645E5F" w:rsidRPr="009F7625">
        <w:rPr>
          <w:rFonts w:ascii="Times New Roman" w:eastAsia="Times New Roman" w:hAnsi="Times New Roman" w:cs="Times New Roman"/>
          <w:sz w:val="28"/>
          <w:szCs w:val="28"/>
        </w:rPr>
        <w:t>.</w:t>
      </w:r>
      <w:r w:rsidR="002D0BE4" w:rsidRPr="009F7625">
        <w:rPr>
          <w:rFonts w:ascii="Times New Roman" w:eastAsia="Times New Roman" w:hAnsi="Times New Roman" w:cs="Times New Roman"/>
          <w:sz w:val="28"/>
          <w:szCs w:val="28"/>
        </w:rPr>
        <w:t xml:space="preserve"> </w:t>
      </w:r>
      <w:r w:rsidR="004C00AB" w:rsidRPr="009F7625">
        <w:rPr>
          <w:rFonts w:ascii="Times New Roman" w:eastAsia="Times New Roman" w:hAnsi="Times New Roman" w:cs="Times New Roman"/>
          <w:sz w:val="28"/>
          <w:szCs w:val="28"/>
        </w:rPr>
        <w:t xml:space="preserve">Bãi bỏ các điểm a, b, g, h, k và m </w:t>
      </w:r>
      <w:r w:rsidRPr="009F7625">
        <w:rPr>
          <w:rFonts w:ascii="Times New Roman" w:eastAsia="Times New Roman" w:hAnsi="Times New Roman" w:cs="Times New Roman"/>
          <w:sz w:val="28"/>
          <w:szCs w:val="28"/>
        </w:rPr>
        <w:t>Điều 23a.</w:t>
      </w:r>
    </w:p>
    <w:p w:rsidR="003C1BEA" w:rsidRPr="009F7625" w:rsidRDefault="003C1BEA" w:rsidP="00603B23">
      <w:pPr>
        <w:shd w:val="clear" w:color="auto" w:fill="FFFFFF"/>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7</w:t>
      </w:r>
      <w:r w:rsidR="004C00AB" w:rsidRPr="009F7625">
        <w:rPr>
          <w:rFonts w:ascii="Times New Roman" w:eastAsia="Times New Roman" w:hAnsi="Times New Roman" w:cs="Times New Roman"/>
          <w:sz w:val="28"/>
          <w:szCs w:val="28"/>
        </w:rPr>
        <w:t>. Bổ sung mới Điều</w:t>
      </w:r>
      <w:r w:rsidRPr="009F7625">
        <w:rPr>
          <w:rFonts w:ascii="Times New Roman" w:eastAsia="Times New Roman" w:hAnsi="Times New Roman" w:cs="Times New Roman"/>
          <w:sz w:val="28"/>
          <w:szCs w:val="28"/>
        </w:rPr>
        <w:t xml:space="preserve"> 23b</w:t>
      </w:r>
      <w:r w:rsidR="004C00AB" w:rsidRPr="009F7625">
        <w:rPr>
          <w:rFonts w:ascii="Times New Roman" w:eastAsia="Times New Roman" w:hAnsi="Times New Roman" w:cs="Times New Roman"/>
          <w:sz w:val="28"/>
          <w:szCs w:val="28"/>
        </w:rPr>
        <w:t>, cụ thể</w:t>
      </w:r>
      <w:r w:rsidRPr="009F7625">
        <w:rPr>
          <w:rFonts w:ascii="Times New Roman" w:eastAsia="Times New Roman" w:hAnsi="Times New Roman" w:cs="Times New Roman"/>
          <w:sz w:val="28"/>
          <w:szCs w:val="28"/>
        </w:rPr>
        <w:t>:</w:t>
      </w:r>
    </w:p>
    <w:p w:rsidR="003C1BEA" w:rsidRPr="009F7625" w:rsidRDefault="00217D51"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“Điều 23b</w:t>
      </w:r>
    </w:p>
    <w:p w:rsidR="003C1BEA" w:rsidRPr="009F7625" w:rsidRDefault="00217D51" w:rsidP="00603B23">
      <w:pPr>
        <w:shd w:val="clear" w:color="auto" w:fill="FFFFFF"/>
        <w:spacing w:after="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Thực hiện việc ủy quyền</w:t>
      </w:r>
    </w:p>
    <w:p w:rsidR="003C1BEA" w:rsidRPr="009F7625" w:rsidRDefault="004C00AB"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1. Thẩm quyền ban hành các văn bản ủy quyền được trao cho Ủy ban theo các điều kiện quy định tại Điều này</w:t>
      </w:r>
      <w:r w:rsidR="003C1BEA" w:rsidRPr="009F7625">
        <w:rPr>
          <w:rFonts w:ascii="Times New Roman" w:eastAsia="Times New Roman" w:hAnsi="Times New Roman" w:cs="Times New Roman"/>
          <w:i/>
          <w:iCs/>
          <w:sz w:val="28"/>
          <w:szCs w:val="28"/>
        </w:rPr>
        <w:t>.</w:t>
      </w:r>
    </w:p>
    <w:p w:rsidR="003C1BEA" w:rsidRPr="009F7625" w:rsidRDefault="004C00AB"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2. “Thẩm quyền ban hành các văn bản ủy quyền quy định tại Khoản 3 Điều 5; Khoản 1 và Khoản 1a Điều 6; Khoản 1, Khoản 2 và Khoản 5 Điều 8; Khoản 7 Điều 16 và Khoản 3 Điều 23 được trao cho Ủy ban trong thời hạn không xác định kể từ ngày Quy định này có hiệu lực</w:t>
      </w:r>
      <w:r w:rsidR="003C1BEA" w:rsidRPr="009F7625">
        <w:rPr>
          <w:rFonts w:ascii="Times New Roman" w:eastAsia="Times New Roman" w:hAnsi="Times New Roman" w:cs="Times New Roman"/>
          <w:i/>
          <w:iCs/>
          <w:sz w:val="28"/>
          <w:szCs w:val="28"/>
        </w:rPr>
        <w:t>.</w:t>
      </w:r>
    </w:p>
    <w:p w:rsidR="003C1BEA" w:rsidRPr="009F7625" w:rsidRDefault="004C00AB"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3. Việc trao thẩm quyền quy định tại Khoản 3 Điều 5; Khoản 1 và Khoản 1a Điều 6; Khoản 1, Khoản 2 và Khoản 5 Điều 8; Khoản 7 Điều 16 và Khoản 3 Điều 23 có thể bị Nghị viện châu Âu hoặc Hội đồng thu hồi bất cứ lúc nào. Quyết định thu hồi sẽ chấm dứt việc trao thẩm quyền được nêu trong quyết định đó. Quyết định này có hiệu lực kể từ ngày tiếp theo sau ngày được công bố trên Công báo của Liên minh châu Âu hoặc vào thời điểm muộn hơn được nêu trong quyết định. Việc thu hồi này không ảnh hưởng đến hiệu lực của các văn bản ủy quyền đã có hiệu lực.</w:t>
      </w:r>
    </w:p>
    <w:p w:rsidR="003C1BEA" w:rsidRPr="009F7625" w:rsidRDefault="004C00AB" w:rsidP="00603B23">
      <w:pPr>
        <w:shd w:val="clear" w:color="auto" w:fill="FFFFFF"/>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4. </w:t>
      </w:r>
      <w:r w:rsidR="00217D51" w:rsidRPr="009F7625">
        <w:rPr>
          <w:rFonts w:ascii="Times New Roman" w:eastAsia="Times New Roman" w:hAnsi="Times New Roman" w:cs="Times New Roman"/>
          <w:i/>
          <w:iCs/>
          <w:sz w:val="28"/>
          <w:szCs w:val="28"/>
        </w:rPr>
        <w:t xml:space="preserve">Trước khi ban hành văn bản ủy quyền, Ủy ban phải tham vấn các chuyên gia do mỗi </w:t>
      </w:r>
      <w:r w:rsidR="00FE27DE" w:rsidRPr="009F7625">
        <w:rPr>
          <w:rFonts w:ascii="Times New Roman" w:eastAsia="Times New Roman" w:hAnsi="Times New Roman" w:cs="Times New Roman"/>
          <w:i/>
          <w:iCs/>
          <w:sz w:val="28"/>
          <w:szCs w:val="28"/>
        </w:rPr>
        <w:t xml:space="preserve">quốc </w:t>
      </w:r>
      <w:r w:rsidR="00217D51" w:rsidRPr="009F7625">
        <w:rPr>
          <w:rFonts w:ascii="Times New Roman" w:eastAsia="Times New Roman" w:hAnsi="Times New Roman" w:cs="Times New Roman"/>
          <w:i/>
          <w:iCs/>
          <w:sz w:val="28"/>
          <w:szCs w:val="28"/>
        </w:rPr>
        <w:t xml:space="preserve">gia </w:t>
      </w:r>
      <w:r w:rsidR="00FE27DE" w:rsidRPr="009F7625">
        <w:rPr>
          <w:rFonts w:ascii="Times New Roman" w:eastAsia="Times New Roman" w:hAnsi="Times New Roman" w:cs="Times New Roman"/>
          <w:i/>
          <w:iCs/>
          <w:sz w:val="28"/>
          <w:szCs w:val="28"/>
        </w:rPr>
        <w:t xml:space="preserve">thành </w:t>
      </w:r>
      <w:r w:rsidR="00217D51" w:rsidRPr="009F7625">
        <w:rPr>
          <w:rFonts w:ascii="Times New Roman" w:eastAsia="Times New Roman" w:hAnsi="Times New Roman" w:cs="Times New Roman"/>
          <w:i/>
          <w:iCs/>
          <w:sz w:val="28"/>
          <w:szCs w:val="28"/>
        </w:rPr>
        <w:t>viên chỉ định, phù hợp với các nguyên tắc quy định tại Thỏa thuận Liên thể chế về Cải thiện xây dựng pháp luật ngày 13 tháng 4 năm 2016.</w:t>
      </w:r>
    </w:p>
    <w:p w:rsidR="003C1BEA" w:rsidRPr="009F7625" w:rsidRDefault="00217D51"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5. Ngay sau khi ban hành văn bản ủy quyền, Ủy ban phải đồng thời thông báo văn bản đó cho Nghị viện châu Âu và Hội đồng.</w:t>
      </w:r>
    </w:p>
    <w:p w:rsidR="003C1BEA" w:rsidRPr="009F7625" w:rsidRDefault="00217D51"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6. Văn bản ủy quyền được ban hành theo quy định tại Khoản 3 Điều 5; Khoản 1 và Khoản 1a Điều 6; Khoản 1, Khoản 2 và Khoản 5 Điều 8; Khoản 7 Điều 16 và Khoản 3 Điều 23 chỉ có hiệu lực nếu trong thời hạn hai tháng kể từ ngày văn bản đó được thông báo cho Nghị viện châu Âu và Hội đồng, không có ý kiến phản đối nào được đưa ra bởi Nghị viện châu Âu hoặc Hội đồng; hoặc nếu trước khi kết thúc thời hạn đó, cả Nghị viện châu Âu và Hội đồng đều thông báo cho Ủy ban rằng họ không phản đối. Thời hạn này có thể được gia hạn thêm hai tháng theo đề nghị của Nghị viện châu Âu hoặc Hội đồng</w:t>
      </w:r>
      <w:r w:rsidR="003C1BEA" w:rsidRPr="009F7625">
        <w:rPr>
          <w:rFonts w:ascii="Times New Roman" w:eastAsia="Times New Roman" w:hAnsi="Times New Roman" w:cs="Times New Roman"/>
          <w:i/>
          <w:iCs/>
          <w:sz w:val="28"/>
          <w:szCs w:val="28"/>
        </w:rPr>
        <w:t>."</w:t>
      </w:r>
    </w:p>
    <w:p w:rsidR="00217D51" w:rsidRPr="009F7625" w:rsidRDefault="00217D51" w:rsidP="00603B23">
      <w:pPr>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11 </w:t>
      </w:r>
    </w:p>
    <w:p w:rsidR="003C1BEA" w:rsidRPr="009F7625" w:rsidRDefault="00217D51" w:rsidP="00603B23">
      <w:pPr>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lastRenderedPageBreak/>
        <w:t>SỬA ĐỔI QUY ĐỊNH (EU) 2017/625</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(EU) 2017/625 được sửa đổi như sau:</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1</w:t>
      </w:r>
      <w:r w:rsidR="00217D51" w:rsidRPr="009F7625">
        <w:rPr>
          <w:rFonts w:ascii="Times New Roman" w:eastAsia="Times New Roman" w:hAnsi="Times New Roman" w:cs="Times New Roman"/>
          <w:sz w:val="28"/>
          <w:szCs w:val="28"/>
        </w:rPr>
        <w:t xml:space="preserve">. Thay thế </w:t>
      </w:r>
      <w:r w:rsidRPr="009F7625">
        <w:rPr>
          <w:rFonts w:ascii="Times New Roman" w:eastAsia="Times New Roman" w:hAnsi="Times New Roman" w:cs="Times New Roman"/>
          <w:sz w:val="28"/>
          <w:szCs w:val="28"/>
        </w:rPr>
        <w:t xml:space="preserve">Điều 41 bằng </w:t>
      </w:r>
      <w:r w:rsidR="00217D51"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217D51" w:rsidP="00603B23">
      <w:pPr>
        <w:spacing w:before="120" w:after="12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sz w:val="28"/>
          <w:szCs w:val="28"/>
        </w:rPr>
        <w:t>“</w:t>
      </w:r>
      <w:r w:rsidR="003C1BEA" w:rsidRPr="009F7625">
        <w:rPr>
          <w:rFonts w:ascii="Times New Roman" w:eastAsia="Times New Roman" w:hAnsi="Times New Roman" w:cs="Times New Roman"/>
          <w:b/>
          <w:bCs/>
          <w:i/>
          <w:iCs/>
          <w:sz w:val="28"/>
          <w:szCs w:val="28"/>
        </w:rPr>
        <w:t>Điều 41</w:t>
      </w:r>
    </w:p>
    <w:p w:rsidR="003C1BEA" w:rsidRPr="009F7625" w:rsidRDefault="00217D51" w:rsidP="00603B23">
      <w:pPr>
        <w:spacing w:before="120" w:after="120" w:line="360" w:lineRule="atLeast"/>
        <w:ind w:firstLine="709"/>
        <w:jc w:val="center"/>
        <w:rPr>
          <w:rFonts w:ascii="Times New Roman" w:eastAsia="Times New Roman" w:hAnsi="Times New Roman" w:cs="Times New Roman"/>
          <w:i/>
          <w:iCs/>
          <w:sz w:val="28"/>
          <w:szCs w:val="28"/>
        </w:rPr>
      </w:pPr>
      <w:r w:rsidRPr="009F7625">
        <w:rPr>
          <w:rFonts w:ascii="Times New Roman" w:eastAsia="Times New Roman" w:hAnsi="Times New Roman" w:cs="Times New Roman"/>
          <w:b/>
          <w:bCs/>
          <w:i/>
          <w:iCs/>
          <w:sz w:val="28"/>
          <w:szCs w:val="28"/>
        </w:rPr>
        <w:t>Thẩm quyền ban hành các quy định miễn trừ đối với điều kiện về tiêu chuẩn áp dụng tại các phòng thí nghiệm chính thức và đối với yêu cầu bắt buộc công nhận năng lực đối với tất cả các phương pháp phân tích, thử nghiệm và chẩn đoán do các phòng thí nghiệm chính thức sử dụng</w:t>
      </w:r>
    </w:p>
    <w:p w:rsidR="003C1BEA" w:rsidRPr="009F7625" w:rsidRDefault="00217D51"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Ủy ban ban hành các văn bản ủy quyền theo quy định tại Điều 144 nhằm bổ sung Quy định này, quy định các trường hợp và điều kiện mà theo đó cơ quan có thẩm quyền có thể chỉ định làm phòng thí nghiệm chính thức, theo quy định tại Khoản 1 Điều 37, các phòng thí nghiệm không đáp ứng:</w:t>
      </w:r>
    </w:p>
    <w:p w:rsidR="00217D51"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217D51" w:rsidRPr="009F7625">
        <w:rPr>
          <w:rFonts w:ascii="Times New Roman" w:eastAsia="Times New Roman" w:hAnsi="Times New Roman" w:cs="Times New Roman"/>
          <w:i/>
          <w:iCs/>
          <w:sz w:val="28"/>
          <w:szCs w:val="28"/>
        </w:rPr>
        <w:t xml:space="preserve">Điều </w:t>
      </w:r>
      <w:r w:rsidRPr="009F7625">
        <w:rPr>
          <w:rFonts w:ascii="Times New Roman" w:eastAsia="Times New Roman" w:hAnsi="Times New Roman" w:cs="Times New Roman"/>
          <w:i/>
          <w:iCs/>
          <w:sz w:val="28"/>
          <w:szCs w:val="28"/>
        </w:rPr>
        <w:t xml:space="preserve">kiện được </w:t>
      </w:r>
      <w:r w:rsidR="00217D51" w:rsidRPr="009F7625">
        <w:rPr>
          <w:rFonts w:ascii="Times New Roman" w:eastAsia="Times New Roman" w:hAnsi="Times New Roman" w:cs="Times New Roman"/>
          <w:i/>
          <w:iCs/>
          <w:sz w:val="28"/>
          <w:szCs w:val="28"/>
        </w:rPr>
        <w:t>quy định</w:t>
      </w:r>
      <w:r w:rsidRPr="009F7625">
        <w:rPr>
          <w:rFonts w:ascii="Times New Roman" w:eastAsia="Times New Roman" w:hAnsi="Times New Roman" w:cs="Times New Roman"/>
          <w:i/>
          <w:iCs/>
          <w:sz w:val="28"/>
          <w:szCs w:val="28"/>
        </w:rPr>
        <w:t xml:space="preserve"> tại điểm </w:t>
      </w:r>
      <w:r w:rsidR="00217D51" w:rsidRPr="009F7625">
        <w:rPr>
          <w:rFonts w:ascii="Times New Roman" w:eastAsia="Times New Roman" w:hAnsi="Times New Roman" w:cs="Times New Roman"/>
          <w:i/>
          <w:iCs/>
          <w:sz w:val="28"/>
          <w:szCs w:val="28"/>
        </w:rPr>
        <w:t>e Khoản 4</w:t>
      </w:r>
      <w:r w:rsidRPr="009F7625">
        <w:rPr>
          <w:rFonts w:ascii="Times New Roman" w:eastAsia="Times New Roman" w:hAnsi="Times New Roman" w:cs="Times New Roman"/>
          <w:i/>
          <w:iCs/>
          <w:sz w:val="28"/>
          <w:szCs w:val="28"/>
        </w:rPr>
        <w:t xml:space="preserve"> Điều 37 liên quan đến các tiêu </w:t>
      </w:r>
      <w:r w:rsidR="00217D51" w:rsidRPr="009F7625">
        <w:rPr>
          <w:rFonts w:ascii="Times New Roman" w:eastAsia="Times New Roman" w:hAnsi="Times New Roman" w:cs="Times New Roman"/>
          <w:i/>
          <w:iCs/>
          <w:sz w:val="28"/>
          <w:szCs w:val="28"/>
        </w:rPr>
        <w:t>chuẩn áp dụng đối với hoạt động và</w:t>
      </w:r>
      <w:r w:rsidR="00291FD0" w:rsidRPr="009F7625">
        <w:rPr>
          <w:rFonts w:ascii="Times New Roman" w:eastAsia="Times New Roman" w:hAnsi="Times New Roman" w:cs="Times New Roman"/>
          <w:i/>
          <w:iCs/>
          <w:sz w:val="28"/>
          <w:szCs w:val="28"/>
        </w:rPr>
        <w:t xml:space="preserve"> </w:t>
      </w:r>
      <w:r w:rsidR="00217D51" w:rsidRPr="009F7625">
        <w:rPr>
          <w:rFonts w:ascii="Times New Roman" w:eastAsia="Times New Roman" w:hAnsi="Times New Roman" w:cs="Times New Roman"/>
          <w:i/>
          <w:iCs/>
          <w:sz w:val="28"/>
          <w:szCs w:val="28"/>
        </w:rPr>
        <w:t>việc công nhận của phòng thí nghiệm</w:t>
      </w:r>
      <w:r w:rsidRPr="009F7625">
        <w:rPr>
          <w:rFonts w:ascii="Times New Roman" w:eastAsia="Times New Roman" w:hAnsi="Times New Roman" w:cs="Times New Roman"/>
          <w:i/>
          <w:iCs/>
          <w:sz w:val="28"/>
          <w:szCs w:val="28"/>
        </w:rPr>
        <w:t xml:space="preserve">; </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217D51" w:rsidRPr="009F7625">
        <w:rPr>
          <w:rFonts w:ascii="Times New Roman" w:eastAsia="Times New Roman" w:hAnsi="Times New Roman" w:cs="Times New Roman"/>
          <w:i/>
          <w:iCs/>
          <w:sz w:val="28"/>
          <w:szCs w:val="28"/>
        </w:rPr>
        <w:t>Điều kiện quy định tại điểm a Khoản 5 Điều 37 liên quan đến yêu cầu công nhận năng lực đối với tất cả các phương pháp mà phòng thí nghiệm sử dụng để thực hiện kiểm soát chính thức hoặc các hoạt động chính thức khác, với điều kiện các phòng thí nghiệm này đáp ứng các điều kiện sau đây</w:t>
      </w:r>
      <w:r w:rsidRPr="009F7625">
        <w:rPr>
          <w:rFonts w:ascii="Times New Roman" w:eastAsia="Times New Roman" w:hAnsi="Times New Roman" w:cs="Times New Roman"/>
          <w:i/>
          <w:iCs/>
          <w:sz w:val="28"/>
          <w:szCs w:val="28"/>
        </w:rPr>
        <w:t>:</w:t>
      </w:r>
    </w:p>
    <w:p w:rsidR="00217D51"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i. </w:t>
      </w:r>
      <w:r w:rsidR="00217D51" w:rsidRPr="009F7625">
        <w:rPr>
          <w:rFonts w:ascii="Times New Roman" w:eastAsia="Times New Roman" w:hAnsi="Times New Roman" w:cs="Times New Roman"/>
          <w:i/>
          <w:iCs/>
          <w:sz w:val="28"/>
          <w:szCs w:val="28"/>
        </w:rPr>
        <w:t>phòng thí nghiệm hoạt động và được công nhận theo tiêu chuẩn EN ISO/IEC 17025 hoặc theo tiêu chuẩn được xác định theo quy định tại Điểm (a), đối với việc áp dụng một hoặc nhiều phương pháp thử nghiệm tương tự và đại diện cho các phương pháp khác mà phòng thí nghiệm sử dụng</w:t>
      </w:r>
      <w:r w:rsidRPr="009F7625">
        <w:rPr>
          <w:rFonts w:ascii="Times New Roman" w:eastAsia="Times New Roman" w:hAnsi="Times New Roman" w:cs="Times New Roman"/>
          <w:i/>
          <w:iCs/>
          <w:sz w:val="28"/>
          <w:szCs w:val="28"/>
        </w:rPr>
        <w:t xml:space="preserve">; </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ii. </w:t>
      </w:r>
      <w:r w:rsidR="00217D51" w:rsidRPr="009F7625">
        <w:rPr>
          <w:rFonts w:ascii="Times New Roman" w:eastAsia="Times New Roman" w:hAnsi="Times New Roman" w:cs="Times New Roman"/>
          <w:i/>
          <w:iCs/>
          <w:sz w:val="28"/>
          <w:szCs w:val="28"/>
        </w:rPr>
        <w:t>phòng thí nghiệm phải thường xuyên sử dụng ở mức độ đáng kể, các phương pháp đã được công nhận theo quy định tại điểm i; trừ trường hợp trong lĩnh vực được điều chỉnh bởi các quy định tại điểm g Khoản 2 Điều 1, khi chưa có phương pháp đã được thẩm định để phát hiện các loài sinh vật gây hại đối với thực vật quy định tại Khoản 1 và Khoản 2 Điều 34</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2</w:t>
      </w:r>
      <w:r w:rsidR="00217D51" w:rsidRPr="009F7625">
        <w:rPr>
          <w:rFonts w:ascii="Times New Roman" w:eastAsia="Times New Roman" w:hAnsi="Times New Roman" w:cs="Times New Roman"/>
          <w:sz w:val="28"/>
          <w:szCs w:val="28"/>
        </w:rPr>
        <w:t xml:space="preserve">. Thay thế Khoản 3 </w:t>
      </w:r>
      <w:r w:rsidRPr="009F7625">
        <w:rPr>
          <w:rFonts w:ascii="Times New Roman" w:eastAsia="Times New Roman" w:hAnsi="Times New Roman" w:cs="Times New Roman"/>
          <w:sz w:val="28"/>
          <w:szCs w:val="28"/>
        </w:rPr>
        <w:t xml:space="preserve">Điều 50 bằng </w:t>
      </w:r>
      <w:r w:rsidR="00217D51"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w:t>
      </w:r>
      <w:r w:rsidR="00217D51" w:rsidRPr="009F7625">
        <w:rPr>
          <w:rFonts w:ascii="Times New Roman" w:eastAsia="Times New Roman" w:hAnsi="Times New Roman" w:cs="Times New Roman"/>
          <w:i/>
          <w:iCs/>
          <w:sz w:val="28"/>
          <w:szCs w:val="28"/>
        </w:rPr>
        <w:t>3. Lô hàng không được phép chia tách trước khi việc kiểm soát chính thức được thực hiện và Tài liệu nhập cảnh y tế chung (CHED) quy định tại Điều 56 được hoàn tất theo quy định tại Khoản 5 Điều 56 và Điều 57, trừ trường hợp cơ quan có thẩm quyền yêu cầu đối với các lô hàng quy định tại Điểm (c) Khoản 1 Điều 47 nhằm thực hiện kiểm tra thực tế đối với một phần của lô hàng được trình tại trạm kiểm soát biên giới.</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3</w:t>
      </w:r>
      <w:r w:rsidR="00C55031" w:rsidRPr="009F7625">
        <w:rPr>
          <w:rFonts w:ascii="Times New Roman" w:eastAsia="Times New Roman" w:hAnsi="Times New Roman" w:cs="Times New Roman"/>
          <w:sz w:val="28"/>
          <w:szCs w:val="28"/>
        </w:rPr>
        <w:t>. Thay thế Khoản 4,</w:t>
      </w:r>
      <w:r w:rsidRPr="009F7625">
        <w:rPr>
          <w:rFonts w:ascii="Times New Roman" w:eastAsia="Times New Roman" w:hAnsi="Times New Roman" w:cs="Times New Roman"/>
          <w:sz w:val="28"/>
          <w:szCs w:val="28"/>
        </w:rPr>
        <w:t xml:space="preserve"> Điều 93 bằng </w:t>
      </w:r>
      <w:r w:rsidR="00C55031"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w:t>
      </w:r>
      <w:r w:rsidR="00C55031" w:rsidRPr="009F7625">
        <w:rPr>
          <w:rFonts w:ascii="Times New Roman" w:eastAsia="Times New Roman" w:hAnsi="Times New Roman" w:cs="Times New Roman"/>
          <w:i/>
          <w:iCs/>
          <w:sz w:val="28"/>
          <w:szCs w:val="28"/>
        </w:rPr>
        <w:t>4. Khác với quy định tại Điểm (a) Khoản 3, Ủy ban có thể chỉ định các phòng thí nghiệm tham chiếu của Liên minh châu Âu, kể cả trong trường hợp các phòng thí nghiệm đó không đáp ứng các điều kiện quy định tại điểm này, liên quan đến</w:t>
      </w:r>
      <w:r w:rsidRPr="009F7625">
        <w:rPr>
          <w:rFonts w:ascii="Times New Roman" w:eastAsia="Times New Roman" w:hAnsi="Times New Roman" w:cs="Times New Roman"/>
          <w:i/>
          <w:iCs/>
          <w:sz w:val="28"/>
          <w:szCs w:val="28"/>
        </w:rPr>
        <w:t>:</w:t>
      </w:r>
    </w:p>
    <w:p w:rsidR="00291FD0"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a) </w:t>
      </w:r>
      <w:r w:rsidR="00C55031" w:rsidRPr="009F7625">
        <w:rPr>
          <w:rFonts w:ascii="Times New Roman" w:eastAsia="Times New Roman" w:hAnsi="Times New Roman" w:cs="Times New Roman"/>
          <w:i/>
          <w:iCs/>
          <w:sz w:val="28"/>
          <w:szCs w:val="28"/>
        </w:rPr>
        <w:t>Các tiêu chuẩn áp dụng đối với hoạt động và việc công nhận của phòng thí nghiệm.</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b) </w:t>
      </w:r>
      <w:r w:rsidR="00481DED" w:rsidRPr="009F7625">
        <w:rPr>
          <w:rFonts w:ascii="Times New Roman" w:eastAsia="Times New Roman" w:hAnsi="Times New Roman" w:cs="Times New Roman"/>
          <w:i/>
          <w:iCs/>
          <w:sz w:val="28"/>
          <w:szCs w:val="28"/>
        </w:rPr>
        <w:t>Việc công nhận năng lực đối với tất cả các phương pháp phân tích, thử nghiệm và chẩn đoán do phòng thí nghiệm sử dụng</w:t>
      </w:r>
      <w:r w:rsidRPr="009F7625">
        <w:rPr>
          <w:rFonts w:ascii="Times New Roman" w:eastAsia="Times New Roman" w:hAnsi="Times New Roman" w:cs="Times New Roman"/>
          <w:i/>
          <w:iCs/>
          <w:sz w:val="28"/>
          <w:szCs w:val="28"/>
        </w:rPr>
        <w:t>.</w:t>
      </w:r>
    </w:p>
    <w:p w:rsidR="003C1BEA" w:rsidRPr="009F7625" w:rsidRDefault="00481DED"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Ủy ban có thể chỉ định các phòng thí nghiệm này với điều kiện các phòng thí nghiệm đó đáp ứng các điều kiện quy định trong các văn bản ủy quyền được ban hành theo Khoản 4a.</w:t>
      </w:r>
    </w:p>
    <w:p w:rsidR="003C1BEA" w:rsidRPr="009F7625" w:rsidRDefault="00481DED"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 xml:space="preserve">4a. </w:t>
      </w:r>
      <w:r w:rsidR="00A65BF9" w:rsidRPr="009F7625">
        <w:rPr>
          <w:rFonts w:ascii="Times New Roman" w:eastAsia="Times New Roman" w:hAnsi="Times New Roman" w:cs="Times New Roman"/>
          <w:i/>
          <w:iCs/>
          <w:sz w:val="28"/>
          <w:szCs w:val="28"/>
        </w:rPr>
        <w:t>Ủy ban được trao quyền thông qua các văn bản được ủy quyền theo quy định tại Điều 144 để bổ sung cho Quy định này</w:t>
      </w:r>
      <w:r w:rsidRPr="009F7625">
        <w:rPr>
          <w:rFonts w:ascii="Times New Roman" w:eastAsia="Times New Roman" w:hAnsi="Times New Roman" w:cs="Times New Roman"/>
          <w:i/>
          <w:iCs/>
          <w:sz w:val="28"/>
          <w:szCs w:val="28"/>
        </w:rPr>
        <w:t>, quy định các điều kiện mà các phòng thí nghiệm phải đáp ứng để được chỉ định là phòng thí nghiệm tham chiếu của Liên minh châu Âu theo quy định tại Khoản 4</w:t>
      </w:r>
      <w:r w:rsidR="003C1BEA"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4</w:t>
      </w:r>
      <w:r w:rsidR="00803645"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100 được sửa đổi như sau:</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803645" w:rsidRPr="009F7625">
        <w:rPr>
          <w:rFonts w:ascii="Times New Roman" w:eastAsia="Times New Roman" w:hAnsi="Times New Roman" w:cs="Times New Roman"/>
          <w:sz w:val="28"/>
          <w:szCs w:val="28"/>
        </w:rPr>
        <w:t>Khoản 2</w:t>
      </w:r>
      <w:r w:rsidRPr="009F7625">
        <w:rPr>
          <w:rFonts w:ascii="Times New Roman" w:eastAsia="Times New Roman" w:hAnsi="Times New Roman" w:cs="Times New Roman"/>
          <w:sz w:val="28"/>
          <w:szCs w:val="28"/>
        </w:rPr>
        <w:t xml:space="preserve"> được sửa đổi như 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(i) </w:t>
      </w:r>
      <w:r w:rsidR="00803645" w:rsidRPr="009F7625">
        <w:rPr>
          <w:rFonts w:ascii="Times New Roman" w:eastAsia="Times New Roman" w:hAnsi="Times New Roman" w:cs="Times New Roman"/>
          <w:i/>
          <w:iCs/>
          <w:sz w:val="28"/>
          <w:szCs w:val="28"/>
        </w:rPr>
        <w:t xml:space="preserve">Thay thế </w:t>
      </w:r>
      <w:r w:rsidRPr="009F7625">
        <w:rPr>
          <w:rFonts w:ascii="Times New Roman" w:eastAsia="Times New Roman" w:hAnsi="Times New Roman" w:cs="Times New Roman"/>
          <w:i/>
          <w:iCs/>
          <w:sz w:val="28"/>
          <w:szCs w:val="28"/>
        </w:rPr>
        <w:t xml:space="preserve">đoạn </w:t>
      </w:r>
      <w:r w:rsidR="00803645" w:rsidRPr="009F7625">
        <w:rPr>
          <w:rFonts w:ascii="Times New Roman" w:eastAsia="Times New Roman" w:hAnsi="Times New Roman" w:cs="Times New Roman"/>
          <w:i/>
          <w:iCs/>
          <w:sz w:val="28"/>
          <w:szCs w:val="28"/>
        </w:rPr>
        <w:t xml:space="preserve">thứ nhất </w:t>
      </w:r>
      <w:r w:rsidRPr="009F7625">
        <w:rPr>
          <w:rFonts w:ascii="Times New Roman" w:eastAsia="Times New Roman" w:hAnsi="Times New Roman" w:cs="Times New Roman"/>
          <w:i/>
          <w:iCs/>
          <w:sz w:val="28"/>
          <w:szCs w:val="28"/>
        </w:rPr>
        <w:t xml:space="preserve">bằng </w:t>
      </w:r>
      <w:r w:rsidR="00803645" w:rsidRPr="009F7625">
        <w:rPr>
          <w:rFonts w:ascii="Times New Roman" w:eastAsia="Times New Roman" w:hAnsi="Times New Roman" w:cs="Times New Roman"/>
          <w:i/>
          <w:iCs/>
          <w:sz w:val="28"/>
          <w:szCs w:val="28"/>
        </w:rPr>
        <w:t xml:space="preserve">nội dung </w:t>
      </w:r>
      <w:r w:rsidRPr="009F7625">
        <w:rPr>
          <w:rFonts w:ascii="Times New Roman" w:eastAsia="Times New Roman" w:hAnsi="Times New Roman" w:cs="Times New Roman"/>
          <w:i/>
          <w:iCs/>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i/>
          <w:iCs/>
          <w:sz w:val="28"/>
          <w:szCs w:val="28"/>
        </w:rPr>
        <w:t>"</w:t>
      </w:r>
      <w:r w:rsidR="00803645" w:rsidRPr="009F7625">
        <w:rPr>
          <w:rFonts w:ascii="Times New Roman" w:eastAsia="Times New Roman" w:hAnsi="Times New Roman" w:cs="Times New Roman"/>
          <w:i/>
          <w:iCs/>
          <w:sz w:val="28"/>
          <w:szCs w:val="28"/>
        </w:rPr>
        <w:t>2. Các yêu cầu quy định tại điểm e Khoản 4 Điều 37; Khoản 5 Điều 37; Điều 39; và Khoản 1, điểm a và điểm b Khoản 2, cũng như Khoản 3 Điều 42 được áp dụng đối với các phòng thí nghiệm tham chiếu quốc gia</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(ii) </w:t>
      </w:r>
      <w:r w:rsidR="00803645" w:rsidRPr="009F7625">
        <w:rPr>
          <w:rFonts w:ascii="Times New Roman" w:eastAsia="Times New Roman" w:hAnsi="Times New Roman" w:cs="Times New Roman"/>
          <w:i/>
          <w:iCs/>
          <w:sz w:val="28"/>
          <w:szCs w:val="28"/>
        </w:rPr>
        <w:t xml:space="preserve">Bãi bỏ </w:t>
      </w:r>
      <w:r w:rsidRPr="009F7625">
        <w:rPr>
          <w:rFonts w:ascii="Times New Roman" w:eastAsia="Times New Roman" w:hAnsi="Times New Roman" w:cs="Times New Roman"/>
          <w:i/>
          <w:iCs/>
          <w:sz w:val="28"/>
          <w:szCs w:val="28"/>
        </w:rPr>
        <w:t xml:space="preserve">đoạn thứ hai </w:t>
      </w:r>
      <w:r w:rsidR="00803645" w:rsidRPr="009F7625">
        <w:rPr>
          <w:rFonts w:ascii="Times New Roman" w:eastAsia="Times New Roman" w:hAnsi="Times New Roman" w:cs="Times New Roman"/>
          <w:i/>
          <w:iCs/>
          <w:sz w:val="28"/>
          <w:szCs w:val="28"/>
        </w:rPr>
        <w:t>Khoản này”</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803645"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6 bằng </w:t>
      </w:r>
      <w:r w:rsidR="00803645"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 xml:space="preserve">"6. </w:t>
      </w:r>
      <w:r w:rsidR="00A65BF9" w:rsidRPr="009F7625">
        <w:rPr>
          <w:rFonts w:ascii="Times New Roman" w:eastAsia="Times New Roman" w:hAnsi="Times New Roman" w:cs="Times New Roman"/>
          <w:i/>
          <w:iCs/>
          <w:sz w:val="28"/>
          <w:szCs w:val="28"/>
        </w:rPr>
        <w:t>Ủy ban được trao quyền thông qua các văn bản được ủy quyền theo quy định tại Điều 144 để bổ sung cho Quy định này</w:t>
      </w:r>
      <w:r w:rsidR="00803645" w:rsidRPr="009F7625">
        <w:rPr>
          <w:rFonts w:ascii="Times New Roman" w:eastAsia="Times New Roman" w:hAnsi="Times New Roman" w:cs="Times New Roman"/>
          <w:i/>
          <w:iCs/>
          <w:sz w:val="28"/>
          <w:szCs w:val="28"/>
        </w:rPr>
        <w:t>, quy định các trường hợp và điều kiện mà theo đó cơ quan có thẩm quyền có thể chỉ định phòng thí nghiệm tham chiếu quốc gia, kể cả trong trường hợp các phòng thí nghiệm đó không đáp ứng: (i) điều kiện quy định tại điểm e Khoản 4 Điều 37 liên quan đến các tiêu chuẩn áp dụng đối với hoạt động và việc công nhận của phòng thí nghiệm; và (ii) điều kiện quy định tại điểm a Khoản 5 Điều 37 liên quan đến việc công nhận năng lực đối với tất cả các phương pháp phân tích, thử nghiệm và chẩn đoán trong phòng thí nghiệm mà các phòng thí nghiệm sử dụng.</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5</w:t>
      </w:r>
      <w:r w:rsidR="00803645" w:rsidRPr="009F7625">
        <w:rPr>
          <w:rFonts w:ascii="Times New Roman" w:eastAsia="Times New Roman" w:hAnsi="Times New Roman" w:cs="Times New Roman"/>
          <w:sz w:val="28"/>
          <w:szCs w:val="28"/>
        </w:rPr>
        <w:t xml:space="preserve">. </w:t>
      </w:r>
      <w:r w:rsidRPr="009F7625">
        <w:rPr>
          <w:rFonts w:ascii="Times New Roman" w:eastAsia="Times New Roman" w:hAnsi="Times New Roman" w:cs="Times New Roman"/>
          <w:sz w:val="28"/>
          <w:szCs w:val="28"/>
        </w:rPr>
        <w:t>Điều 144 được sửa đổi như sau:</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a) </w:t>
      </w:r>
      <w:r w:rsidR="00803645"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2 bằng </w:t>
      </w:r>
      <w:r w:rsidR="00803645"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lastRenderedPageBreak/>
        <w:t>"</w:t>
      </w:r>
      <w:r w:rsidR="00803645" w:rsidRPr="009F7625">
        <w:rPr>
          <w:rFonts w:ascii="Times New Roman" w:eastAsia="Times New Roman" w:hAnsi="Times New Roman" w:cs="Times New Roman"/>
          <w:i/>
          <w:iCs/>
          <w:sz w:val="28"/>
          <w:szCs w:val="28"/>
        </w:rPr>
        <w:t xml:space="preserve">2. </w:t>
      </w:r>
      <w:r w:rsidR="00AA0389" w:rsidRPr="009F7625">
        <w:rPr>
          <w:rFonts w:ascii="Times New Roman" w:eastAsia="Times New Roman" w:hAnsi="Times New Roman" w:cs="Times New Roman"/>
          <w:i/>
          <w:iCs/>
          <w:sz w:val="28"/>
          <w:szCs w:val="28"/>
        </w:rPr>
        <w:t>Thẩm quyền ban hành các văn bản ủy quyền được quy định tại các điều khoản sau đây của Quy định này: Khoản 7 Điều 18; Khoản 8 Điều 21; Điều 41; Khoản 4 Điều 45; Khoản 3 Điều 47; Điều 48; Khoản 4 Điều 50; Điều 51; Khoản 1 Điều 53; Khoản 3 Điều 62; Khoản 2 và Khoản 5 Điều 64; Khoản 1 và Khoản 2 Điều 77; Khoản 4 Điều 92; Khoản 4a Điều 93; Khoản 2 Điều 99; Khoản 6 Điều 100; Khoản 2 Điều 101; Khoản 1 Điều 126; Khoản 1 và Khoản 2 Điều 142; Khoản 2 Điều 149; Khoản 3 Điều 150; Khoản 3 Điều 154; Khoản 3 Điều 155; và Khoản 3 Điều 165. Thẩm quyền quy định tại điểm a khoản này được trao cho Ủy ban trong thời hạn năm năm kể từ ngày 28 tháng 4 năm 2017. Ủy ban phải lập báo cáo về việc thực hiện thẩm quyền được trao chậm nhất chín tháng trước khi kết thúc thời hạn năm năm này. Việc trao thẩm quyền được tự động gia hạn thêm các thời hạn có cùng thời hạn, trừ khi Nghị viện châu Âu hoặc Hội đồng phản đối việc gia hạn đó chậm nhất ba tháng trước khi kết thúc mỗi thời hạn</w:t>
      </w:r>
      <w:r w:rsidR="00645E5F" w:rsidRPr="009F7625">
        <w:rPr>
          <w:rFonts w:ascii="Times New Roman" w:eastAsia="Times New Roman" w:hAnsi="Times New Roman" w:cs="Times New Roman"/>
          <w:i/>
          <w:iCs/>
          <w:sz w:val="28"/>
          <w:szCs w:val="28"/>
        </w:rPr>
        <w:t>.</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 </w:t>
      </w:r>
      <w:r w:rsidR="00F56B20"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3 bằng </w:t>
      </w:r>
      <w:r w:rsidR="00F56B20"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i/>
          <w:iCs/>
          <w:sz w:val="28"/>
          <w:szCs w:val="28"/>
        </w:rPr>
      </w:pPr>
      <w:r w:rsidRPr="009F7625">
        <w:rPr>
          <w:rFonts w:ascii="Times New Roman" w:eastAsia="Times New Roman" w:hAnsi="Times New Roman" w:cs="Times New Roman"/>
          <w:i/>
          <w:iCs/>
          <w:sz w:val="28"/>
          <w:szCs w:val="28"/>
        </w:rPr>
        <w:t>"3.</w:t>
      </w:r>
      <w:r w:rsidR="00F56B20" w:rsidRPr="009F7625">
        <w:rPr>
          <w:rFonts w:ascii="Times New Roman" w:eastAsia="Times New Roman" w:hAnsi="Times New Roman" w:cs="Times New Roman"/>
          <w:i/>
          <w:iCs/>
          <w:sz w:val="28"/>
          <w:szCs w:val="28"/>
        </w:rPr>
        <w:t xml:space="preserve"> Việc trao thẩm quyền quy định tại Khoản 7 Điều 18; Khoản 8 Điều 21; Điều 41; Khoản 4 Điều 45; Khoản 3 Điều 47; Điều 48; Khoản 4 Điều 50; Điều 51; Khoản 1 Điều 53; Khoản 3 Điều 62; Khoản 2 và Khoản 5 Điều 64; Khoản 1 và Khoản 2 Điều 77; Khoản 4 Điều 92; Khoản 4a Điều 93; Khoản 2 Điều 99; Khoản 6 Điều 100; Khoản 2 Điều 101; Khoản 1 Điều 126; Khoản 1 và Khoản 2 Điều 142; Khoản 2 Điều 149; Khoản 3 Điều 150; Khoản 3 Điều 154; Khoản 3 Điều 155 và Khoản 3 Điều 165 có thể bị Nghị viện châu Âu hoặc Hội đồng thu hồi bất cứ lúc nào. Quyết định thu hồi sẽ chấm dứt việc trao thẩm quyền được nêu trong quyết định đó. Quyết định này có hiệu lực kể từ ngày tiếp theo sau ngày được công bố trên Công báo của Liên minh châu Âu hoặc vào thời điểm muộn hơn được nêu trong quyết định. Việc thu hồi này không ảnh hưởng đến hiệu lực của các văn bản ủy quyền đã có hiệu lực</w:t>
      </w:r>
      <w:r w:rsidRPr="009F7625">
        <w:rPr>
          <w:rFonts w:ascii="Times New Roman" w:eastAsia="Times New Roman" w:hAnsi="Times New Roman" w:cs="Times New Roman"/>
          <w:i/>
          <w:iCs/>
          <w:sz w:val="28"/>
          <w:szCs w:val="28"/>
        </w:rPr>
        <w:t>"</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c) </w:t>
      </w:r>
      <w:r w:rsidR="00F56B20" w:rsidRPr="009F7625">
        <w:rPr>
          <w:rFonts w:ascii="Times New Roman" w:eastAsia="Times New Roman" w:hAnsi="Times New Roman" w:cs="Times New Roman"/>
          <w:sz w:val="28"/>
          <w:szCs w:val="28"/>
        </w:rPr>
        <w:t xml:space="preserve">Thay thế Khoản </w:t>
      </w:r>
      <w:r w:rsidRPr="009F7625">
        <w:rPr>
          <w:rFonts w:ascii="Times New Roman" w:eastAsia="Times New Roman" w:hAnsi="Times New Roman" w:cs="Times New Roman"/>
          <w:sz w:val="28"/>
          <w:szCs w:val="28"/>
        </w:rPr>
        <w:t xml:space="preserve">6 bằng </w:t>
      </w:r>
      <w:r w:rsidR="00F56B20" w:rsidRPr="009F7625">
        <w:rPr>
          <w:rFonts w:ascii="Times New Roman" w:eastAsia="Times New Roman" w:hAnsi="Times New Roman" w:cs="Times New Roman"/>
          <w:sz w:val="28"/>
          <w:szCs w:val="28"/>
        </w:rPr>
        <w:t xml:space="preserve">nội dung </w:t>
      </w:r>
      <w:r w:rsidRPr="009F7625">
        <w:rPr>
          <w:rFonts w:ascii="Times New Roman" w:eastAsia="Times New Roman" w:hAnsi="Times New Roman" w:cs="Times New Roman"/>
          <w:sz w:val="28"/>
          <w:szCs w:val="28"/>
        </w:rPr>
        <w:t>sau:</w:t>
      </w:r>
    </w:p>
    <w:p w:rsidR="003C1BEA" w:rsidRPr="009F7625" w:rsidRDefault="003C1BEA"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"6. </w:t>
      </w:r>
      <w:r w:rsidR="00F56B20" w:rsidRPr="009F7625">
        <w:rPr>
          <w:rFonts w:ascii="Times New Roman" w:eastAsia="Times New Roman" w:hAnsi="Times New Roman" w:cs="Times New Roman"/>
          <w:sz w:val="28"/>
          <w:szCs w:val="28"/>
        </w:rPr>
        <w:t xml:space="preserve">Văn bản ủy quyền được ban hành theo quy định tại Khoản 7 Điều 18; Khoản 8 Điều 21; Điều 41; Khoản 4 Điều 45; Khoản 3 Điều 47; Điều 48; Khoản 4 Điều 50; Điều 51; Khoản 1 Điều 53; Khoản 3 Điều 62; Khoản 2 và Khoản 5 Điều 64; Khoản 1 và Khoản 2 Điều 77; Khoản 4 Điều 92; Khoản 4a Điều 93; Khoản 2 Điều 99; Khoản 6 Điều 100; Khoản 2 Điều 101; Khoản 1 Điều 126; Khoản 1 và Khoản 2 Điều 142; Khoản 2 Điều 149; Khoản 3 Điều 150; Khoản 3 Điều 154; Khoản 3 Điều 155 và Khoản 3 Điều 165 chỉ có hiệu lực nếu trong thời hạn hai tháng kể từ ngày văn bản đó được thông báo cho Nghị viện châu Âu và Hội đồng, không có ý kiến phản đối nào được đưa ra bởi Nghị viện châu Âu hoặc Hội đồng; hoặc nếu trước khi kết thúc thời hạn đó, cả Nghị viện châu Âu và Hội </w:t>
      </w:r>
      <w:r w:rsidR="00F56B20" w:rsidRPr="009F7625">
        <w:rPr>
          <w:rFonts w:ascii="Times New Roman" w:eastAsia="Times New Roman" w:hAnsi="Times New Roman" w:cs="Times New Roman"/>
          <w:sz w:val="28"/>
          <w:szCs w:val="28"/>
        </w:rPr>
        <w:lastRenderedPageBreak/>
        <w:t>đồng đều thông báo cho Ủy ban rằng họ không phản đối</w:t>
      </w:r>
      <w:r w:rsidRPr="009F7625">
        <w:rPr>
          <w:rFonts w:ascii="Times New Roman" w:eastAsia="Times New Roman" w:hAnsi="Times New Roman" w:cs="Times New Roman"/>
          <w:sz w:val="28"/>
          <w:szCs w:val="28"/>
        </w:rPr>
        <w:t>.</w:t>
      </w:r>
      <w:r w:rsidR="00F56B20" w:rsidRPr="009F7625">
        <w:rPr>
          <w:rFonts w:ascii="Times New Roman" w:eastAsia="Times New Roman" w:hAnsi="Times New Roman" w:cs="Times New Roman"/>
          <w:sz w:val="28"/>
          <w:szCs w:val="28"/>
        </w:rPr>
        <w:t xml:space="preserve"> Thời hạn này có thể được gia hạn thêm hai tháng theo đề nghị của Nghị viện châu Âu hoặc Hội đồng</w:t>
      </w:r>
      <w:r w:rsidRPr="009F7625">
        <w:rPr>
          <w:rFonts w:ascii="Times New Roman" w:eastAsia="Times New Roman" w:hAnsi="Times New Roman" w:cs="Times New Roman"/>
          <w:sz w:val="28"/>
          <w:szCs w:val="28"/>
        </w:rPr>
        <w:t>"</w:t>
      </w:r>
    </w:p>
    <w:p w:rsidR="00F56B20" w:rsidRPr="009F7625" w:rsidRDefault="00F56B20" w:rsidP="00603B23">
      <w:pPr>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 xml:space="preserve">ĐIỀU 12 </w:t>
      </w:r>
    </w:p>
    <w:p w:rsidR="003C1BEA" w:rsidRPr="009F7625" w:rsidRDefault="00F56B20" w:rsidP="00603B23">
      <w:pPr>
        <w:spacing w:after="0" w:line="360" w:lineRule="atLeast"/>
        <w:ind w:firstLine="709"/>
        <w:jc w:val="center"/>
        <w:outlineLvl w:val="1"/>
        <w:rPr>
          <w:rFonts w:ascii="Times New Roman" w:eastAsia="Times New Roman" w:hAnsi="Times New Roman" w:cs="Times New Roman"/>
          <w:b/>
          <w:bCs/>
          <w:sz w:val="28"/>
          <w:szCs w:val="28"/>
        </w:rPr>
      </w:pPr>
      <w:r w:rsidRPr="009F7625">
        <w:rPr>
          <w:rFonts w:ascii="Times New Roman" w:eastAsia="Times New Roman" w:hAnsi="Times New Roman" w:cs="Times New Roman"/>
          <w:b/>
          <w:bCs/>
          <w:sz w:val="28"/>
          <w:szCs w:val="28"/>
        </w:rPr>
        <w:t>HIỆU LỰC VÀ ÁP DỤNG</w:t>
      </w:r>
    </w:p>
    <w:p w:rsidR="003C1BEA" w:rsidRPr="009F7625" w:rsidRDefault="00F56B20"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Quy định này có hiệu lực kể từ ngày thứ hai mươi sau ngày được công bố trên Công báo của Liên minh châu Âu</w:t>
      </w:r>
      <w:r w:rsidR="003C1BEA" w:rsidRPr="009F7625">
        <w:rPr>
          <w:rFonts w:ascii="Times New Roman" w:eastAsia="Times New Roman" w:hAnsi="Times New Roman" w:cs="Times New Roman"/>
          <w:sz w:val="28"/>
          <w:szCs w:val="28"/>
        </w:rPr>
        <w:t>.</w:t>
      </w:r>
    </w:p>
    <w:p w:rsidR="003C1BEA" w:rsidRPr="009F7625" w:rsidRDefault="003B413B"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Điểm (ii) của điểm a khoản 4 Điều 13 được áp dụng kể từ ngày [ngày Quy định này có hiệu lực cộng thêm 02 năm] hoặc kể từ ngày văn bản ủy quyền được ban hành theo quy định tại khoản 6 Điều 100 của Quy định (EU) 2017/625 trong lĩnh vực các biện pháp bảo vệ chống lại sinh vật gây hại đối với thực vật có hiệu lực, tùy theo thời điểm nào đến trước</w:t>
      </w:r>
      <w:r w:rsidR="003C1BEA" w:rsidRPr="009F7625">
        <w:rPr>
          <w:rFonts w:ascii="Times New Roman" w:eastAsia="Times New Roman" w:hAnsi="Times New Roman" w:cs="Times New Roman"/>
          <w:sz w:val="28"/>
          <w:szCs w:val="28"/>
        </w:rPr>
        <w:t>.</w:t>
      </w:r>
    </w:p>
    <w:p w:rsidR="003C1BEA" w:rsidRPr="009F7625" w:rsidRDefault="003B413B"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Quy định này có hiệu lực ràng buộc toàn bộ và được áp dụng trực tiếp tại tất cả các </w:t>
      </w:r>
      <w:r w:rsidR="00FE27DE" w:rsidRPr="009F7625">
        <w:rPr>
          <w:rFonts w:ascii="Times New Roman" w:eastAsia="Times New Roman" w:hAnsi="Times New Roman" w:cs="Times New Roman"/>
          <w:sz w:val="28"/>
          <w:szCs w:val="28"/>
        </w:rPr>
        <w:t xml:space="preserve">quốc </w:t>
      </w:r>
      <w:r w:rsidRPr="009F7625">
        <w:rPr>
          <w:rFonts w:ascii="Times New Roman" w:eastAsia="Times New Roman" w:hAnsi="Times New Roman" w:cs="Times New Roman"/>
          <w:sz w:val="28"/>
          <w:szCs w:val="28"/>
        </w:rPr>
        <w:t xml:space="preserve">gia </w:t>
      </w:r>
      <w:r w:rsidR="00FE27DE" w:rsidRPr="009F7625">
        <w:rPr>
          <w:rFonts w:ascii="Times New Roman" w:eastAsia="Times New Roman" w:hAnsi="Times New Roman" w:cs="Times New Roman"/>
          <w:sz w:val="28"/>
          <w:szCs w:val="28"/>
        </w:rPr>
        <w:t xml:space="preserve">thành </w:t>
      </w:r>
      <w:r w:rsidRPr="009F7625">
        <w:rPr>
          <w:rFonts w:ascii="Times New Roman" w:eastAsia="Times New Roman" w:hAnsi="Times New Roman" w:cs="Times New Roman"/>
          <w:sz w:val="28"/>
          <w:szCs w:val="28"/>
        </w:rPr>
        <w:t>viên.</w:t>
      </w:r>
    </w:p>
    <w:p w:rsidR="003C1BEA" w:rsidRPr="009F7625" w:rsidRDefault="003B413B" w:rsidP="00603B23">
      <w:pPr>
        <w:spacing w:before="120" w:after="120" w:line="360" w:lineRule="atLeast"/>
        <w:ind w:firstLine="709"/>
        <w:jc w:val="both"/>
        <w:rPr>
          <w:rFonts w:ascii="Times New Roman" w:eastAsia="Times New Roman" w:hAnsi="Times New Roman" w:cs="Times New Roman"/>
          <w:sz w:val="28"/>
          <w:szCs w:val="28"/>
        </w:rPr>
      </w:pPr>
      <w:r w:rsidRPr="009F7625">
        <w:rPr>
          <w:rFonts w:ascii="Times New Roman" w:eastAsia="Times New Roman" w:hAnsi="Times New Roman" w:cs="Times New Roman"/>
          <w:sz w:val="28"/>
          <w:szCs w:val="28"/>
        </w:rPr>
        <w:t xml:space="preserve">Ban hành </w:t>
      </w:r>
      <w:r w:rsidR="003C1BEA" w:rsidRPr="009F7625">
        <w:rPr>
          <w:rFonts w:ascii="Times New Roman" w:eastAsia="Times New Roman" w:hAnsi="Times New Roman" w:cs="Times New Roman"/>
          <w:sz w:val="28"/>
          <w:szCs w:val="28"/>
        </w:rPr>
        <w:t>tại Strasbourg</w:t>
      </w:r>
      <w:r w:rsidR="00FE27DE" w:rsidRPr="009F7625">
        <w:rPr>
          <w:rFonts w:ascii="Times New Roman" w:eastAsia="Times New Roman" w:hAnsi="Times New Roman" w:cs="Times New Roman"/>
          <w:sz w:val="28"/>
          <w:szCs w:val="28"/>
        </w:rPr>
        <w:t>.</w:t>
      </w:r>
    </w:p>
    <w:p w:rsidR="00B004C7" w:rsidRPr="009F7625" w:rsidRDefault="00B004C7" w:rsidP="00CF6D3C">
      <w:pPr>
        <w:spacing w:before="120" w:after="0"/>
        <w:jc w:val="both"/>
        <w:rPr>
          <w:rFonts w:ascii="Times New Roman" w:hAnsi="Times New Roman" w:cs="Times New Roman"/>
          <w:sz w:val="28"/>
          <w:szCs w:val="28"/>
        </w:rPr>
      </w:pPr>
    </w:p>
    <w:sectPr w:rsidR="00B004C7" w:rsidRPr="009F7625" w:rsidSect="003F0AEC">
      <w:headerReference w:type="default" r:id="rId9"/>
      <w:pgSz w:w="11907" w:h="16840"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79" w:rsidRDefault="007C6379" w:rsidP="00D124B3">
      <w:pPr>
        <w:spacing w:after="0" w:line="240" w:lineRule="auto"/>
      </w:pPr>
      <w:r>
        <w:separator/>
      </w:r>
    </w:p>
  </w:endnote>
  <w:endnote w:type="continuationSeparator" w:id="0">
    <w:p w:rsidR="007C6379" w:rsidRDefault="007C6379" w:rsidP="00D1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79" w:rsidRDefault="007C6379" w:rsidP="00D124B3">
      <w:pPr>
        <w:spacing w:after="0" w:line="240" w:lineRule="auto"/>
      </w:pPr>
      <w:r>
        <w:separator/>
      </w:r>
    </w:p>
  </w:footnote>
  <w:footnote w:type="continuationSeparator" w:id="0">
    <w:p w:rsidR="007C6379" w:rsidRDefault="007C6379" w:rsidP="00D12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96" w:rsidRDefault="00191A96">
    <w:pPr>
      <w:pStyle w:val="Header"/>
      <w:jc w:val="center"/>
    </w:pPr>
  </w:p>
  <w:p w:rsidR="00191A96" w:rsidRDefault="00191A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421833"/>
      <w:docPartObj>
        <w:docPartGallery w:val="Page Numbers (Top of Page)"/>
        <w:docPartUnique/>
      </w:docPartObj>
    </w:sdtPr>
    <w:sdtEndPr>
      <w:rPr>
        <w:noProof/>
      </w:rPr>
    </w:sdtEndPr>
    <w:sdtContent>
      <w:p w:rsidR="00191A96" w:rsidRDefault="00191A96">
        <w:pPr>
          <w:pStyle w:val="Header"/>
          <w:jc w:val="center"/>
        </w:pPr>
        <w:r>
          <w:fldChar w:fldCharType="begin"/>
        </w:r>
        <w:r>
          <w:instrText xml:space="preserve"> PAGE   \* MERGEFORMAT </w:instrText>
        </w:r>
        <w:r>
          <w:fldChar w:fldCharType="separate"/>
        </w:r>
        <w:r w:rsidR="009F7625">
          <w:rPr>
            <w:noProof/>
          </w:rPr>
          <w:t>19</w:t>
        </w:r>
        <w:r>
          <w:rPr>
            <w:noProof/>
          </w:rPr>
          <w:fldChar w:fldCharType="end"/>
        </w:r>
      </w:p>
    </w:sdtContent>
  </w:sdt>
  <w:p w:rsidR="00191A96" w:rsidRDefault="00191A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4F"/>
    <w:multiLevelType w:val="multilevel"/>
    <w:tmpl w:val="683C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931CE"/>
    <w:multiLevelType w:val="multilevel"/>
    <w:tmpl w:val="BCBE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06627"/>
    <w:multiLevelType w:val="multilevel"/>
    <w:tmpl w:val="65CCDA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A513E"/>
    <w:multiLevelType w:val="multilevel"/>
    <w:tmpl w:val="D722D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F32D8"/>
    <w:multiLevelType w:val="multilevel"/>
    <w:tmpl w:val="6762B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6540C"/>
    <w:multiLevelType w:val="multilevel"/>
    <w:tmpl w:val="2C341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C6BA1"/>
    <w:multiLevelType w:val="multilevel"/>
    <w:tmpl w:val="B5E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D30"/>
    <w:multiLevelType w:val="multilevel"/>
    <w:tmpl w:val="FC32D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B54A9"/>
    <w:multiLevelType w:val="multilevel"/>
    <w:tmpl w:val="1E200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4F4537"/>
    <w:multiLevelType w:val="multilevel"/>
    <w:tmpl w:val="1D28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0277F"/>
    <w:multiLevelType w:val="multilevel"/>
    <w:tmpl w:val="BD060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16338"/>
    <w:multiLevelType w:val="multilevel"/>
    <w:tmpl w:val="6A9C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73204"/>
    <w:multiLevelType w:val="multilevel"/>
    <w:tmpl w:val="1E1E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F436C"/>
    <w:multiLevelType w:val="multilevel"/>
    <w:tmpl w:val="8FF4E6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B001D"/>
    <w:multiLevelType w:val="multilevel"/>
    <w:tmpl w:val="06EA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65AA0"/>
    <w:multiLevelType w:val="multilevel"/>
    <w:tmpl w:val="E8A0E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453F33"/>
    <w:multiLevelType w:val="multilevel"/>
    <w:tmpl w:val="A0A6A9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547FF"/>
    <w:multiLevelType w:val="multilevel"/>
    <w:tmpl w:val="68061B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617D9D"/>
    <w:multiLevelType w:val="multilevel"/>
    <w:tmpl w:val="6AACB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BC482D"/>
    <w:multiLevelType w:val="multilevel"/>
    <w:tmpl w:val="2E4C9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D868BB"/>
    <w:multiLevelType w:val="multilevel"/>
    <w:tmpl w:val="126AB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415EB9"/>
    <w:multiLevelType w:val="multilevel"/>
    <w:tmpl w:val="6534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154B98"/>
    <w:multiLevelType w:val="multilevel"/>
    <w:tmpl w:val="A2B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412B42"/>
    <w:multiLevelType w:val="multilevel"/>
    <w:tmpl w:val="6FBCDD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30129E"/>
    <w:multiLevelType w:val="multilevel"/>
    <w:tmpl w:val="EB8AA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5F22E9"/>
    <w:multiLevelType w:val="multilevel"/>
    <w:tmpl w:val="0A64E7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703C82"/>
    <w:multiLevelType w:val="multilevel"/>
    <w:tmpl w:val="F5E63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9721C1"/>
    <w:multiLevelType w:val="multilevel"/>
    <w:tmpl w:val="3490D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191DEB"/>
    <w:multiLevelType w:val="multilevel"/>
    <w:tmpl w:val="E11EC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D3757B"/>
    <w:multiLevelType w:val="multilevel"/>
    <w:tmpl w:val="A65E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824FE"/>
    <w:multiLevelType w:val="multilevel"/>
    <w:tmpl w:val="CDDE3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555BBC"/>
    <w:multiLevelType w:val="multilevel"/>
    <w:tmpl w:val="0FC8D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9C04DF"/>
    <w:multiLevelType w:val="multilevel"/>
    <w:tmpl w:val="1584F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B35B1C"/>
    <w:multiLevelType w:val="multilevel"/>
    <w:tmpl w:val="F2C4ED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657597"/>
    <w:multiLevelType w:val="multilevel"/>
    <w:tmpl w:val="F638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1A3278"/>
    <w:multiLevelType w:val="multilevel"/>
    <w:tmpl w:val="B65C96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44A74"/>
    <w:multiLevelType w:val="multilevel"/>
    <w:tmpl w:val="F43AF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40FC3"/>
    <w:multiLevelType w:val="multilevel"/>
    <w:tmpl w:val="B61615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506C5"/>
    <w:multiLevelType w:val="multilevel"/>
    <w:tmpl w:val="BF90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057D03"/>
    <w:multiLevelType w:val="multilevel"/>
    <w:tmpl w:val="82627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815B1"/>
    <w:multiLevelType w:val="multilevel"/>
    <w:tmpl w:val="D702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09323C"/>
    <w:multiLevelType w:val="multilevel"/>
    <w:tmpl w:val="ED64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EA2EB6"/>
    <w:multiLevelType w:val="multilevel"/>
    <w:tmpl w:val="78E6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784595"/>
    <w:multiLevelType w:val="multilevel"/>
    <w:tmpl w:val="53D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5528CF"/>
    <w:multiLevelType w:val="multilevel"/>
    <w:tmpl w:val="ACB2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E0528D"/>
    <w:multiLevelType w:val="multilevel"/>
    <w:tmpl w:val="7064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302585"/>
    <w:multiLevelType w:val="multilevel"/>
    <w:tmpl w:val="1A7EC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7C12B6"/>
    <w:multiLevelType w:val="multilevel"/>
    <w:tmpl w:val="157EE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DD1339"/>
    <w:multiLevelType w:val="multilevel"/>
    <w:tmpl w:val="2CF2A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2"/>
  </w:num>
  <w:num w:numId="3">
    <w:abstractNumId w:val="20"/>
  </w:num>
  <w:num w:numId="4">
    <w:abstractNumId w:val="31"/>
  </w:num>
  <w:num w:numId="5">
    <w:abstractNumId w:val="0"/>
  </w:num>
  <w:num w:numId="6">
    <w:abstractNumId w:val="39"/>
  </w:num>
  <w:num w:numId="7">
    <w:abstractNumId w:val="30"/>
  </w:num>
  <w:num w:numId="8">
    <w:abstractNumId w:val="17"/>
  </w:num>
  <w:num w:numId="9">
    <w:abstractNumId w:val="21"/>
  </w:num>
  <w:num w:numId="10">
    <w:abstractNumId w:val="3"/>
  </w:num>
  <w:num w:numId="11">
    <w:abstractNumId w:val="36"/>
  </w:num>
  <w:num w:numId="12">
    <w:abstractNumId w:val="7"/>
  </w:num>
  <w:num w:numId="13">
    <w:abstractNumId w:val="13"/>
  </w:num>
  <w:num w:numId="14">
    <w:abstractNumId w:val="45"/>
  </w:num>
  <w:num w:numId="15">
    <w:abstractNumId w:val="19"/>
  </w:num>
  <w:num w:numId="16">
    <w:abstractNumId w:val="11"/>
  </w:num>
  <w:num w:numId="17">
    <w:abstractNumId w:val="46"/>
  </w:num>
  <w:num w:numId="18">
    <w:abstractNumId w:val="44"/>
  </w:num>
  <w:num w:numId="19">
    <w:abstractNumId w:val="32"/>
  </w:num>
  <w:num w:numId="20">
    <w:abstractNumId w:val="2"/>
  </w:num>
  <w:num w:numId="21">
    <w:abstractNumId w:val="43"/>
  </w:num>
  <w:num w:numId="22">
    <w:abstractNumId w:val="27"/>
  </w:num>
  <w:num w:numId="23">
    <w:abstractNumId w:val="15"/>
  </w:num>
  <w:num w:numId="24">
    <w:abstractNumId w:val="48"/>
  </w:num>
  <w:num w:numId="25">
    <w:abstractNumId w:val="1"/>
  </w:num>
  <w:num w:numId="26">
    <w:abstractNumId w:val="38"/>
  </w:num>
  <w:num w:numId="27">
    <w:abstractNumId w:val="35"/>
  </w:num>
  <w:num w:numId="28">
    <w:abstractNumId w:val="29"/>
  </w:num>
  <w:num w:numId="29">
    <w:abstractNumId w:val="26"/>
  </w:num>
  <w:num w:numId="30">
    <w:abstractNumId w:val="24"/>
  </w:num>
  <w:num w:numId="31">
    <w:abstractNumId w:val="33"/>
  </w:num>
  <w:num w:numId="32">
    <w:abstractNumId w:val="42"/>
  </w:num>
  <w:num w:numId="33">
    <w:abstractNumId w:val="5"/>
  </w:num>
  <w:num w:numId="34">
    <w:abstractNumId w:val="6"/>
  </w:num>
  <w:num w:numId="35">
    <w:abstractNumId w:val="40"/>
  </w:num>
  <w:num w:numId="36">
    <w:abstractNumId w:val="28"/>
  </w:num>
  <w:num w:numId="37">
    <w:abstractNumId w:val="41"/>
  </w:num>
  <w:num w:numId="38">
    <w:abstractNumId w:val="10"/>
  </w:num>
  <w:num w:numId="39">
    <w:abstractNumId w:val="23"/>
  </w:num>
  <w:num w:numId="40">
    <w:abstractNumId w:val="25"/>
  </w:num>
  <w:num w:numId="41">
    <w:abstractNumId w:val="14"/>
  </w:num>
  <w:num w:numId="42">
    <w:abstractNumId w:val="8"/>
  </w:num>
  <w:num w:numId="43">
    <w:abstractNumId w:val="34"/>
  </w:num>
  <w:num w:numId="44">
    <w:abstractNumId w:val="9"/>
  </w:num>
  <w:num w:numId="45">
    <w:abstractNumId w:val="18"/>
  </w:num>
  <w:num w:numId="46">
    <w:abstractNumId w:val="16"/>
  </w:num>
  <w:num w:numId="47">
    <w:abstractNumId w:val="47"/>
  </w:num>
  <w:num w:numId="48">
    <w:abstractNumId w:val="12"/>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EA"/>
    <w:rsid w:val="0002554D"/>
    <w:rsid w:val="000519F6"/>
    <w:rsid w:val="00061098"/>
    <w:rsid w:val="00080EF7"/>
    <w:rsid w:val="000C02A4"/>
    <w:rsid w:val="000F4B72"/>
    <w:rsid w:val="001062B5"/>
    <w:rsid w:val="00142357"/>
    <w:rsid w:val="00142B2F"/>
    <w:rsid w:val="00144EBB"/>
    <w:rsid w:val="00146E66"/>
    <w:rsid w:val="00176856"/>
    <w:rsid w:val="00191A96"/>
    <w:rsid w:val="001977AE"/>
    <w:rsid w:val="001A6BED"/>
    <w:rsid w:val="001B27AB"/>
    <w:rsid w:val="001B580E"/>
    <w:rsid w:val="0020204B"/>
    <w:rsid w:val="00217D51"/>
    <w:rsid w:val="00221012"/>
    <w:rsid w:val="00232D16"/>
    <w:rsid w:val="00251530"/>
    <w:rsid w:val="002524AC"/>
    <w:rsid w:val="00262EBD"/>
    <w:rsid w:val="00291FD0"/>
    <w:rsid w:val="002D0BE4"/>
    <w:rsid w:val="002D315B"/>
    <w:rsid w:val="002E324E"/>
    <w:rsid w:val="002E770B"/>
    <w:rsid w:val="00316C98"/>
    <w:rsid w:val="0032101D"/>
    <w:rsid w:val="00364627"/>
    <w:rsid w:val="003718CC"/>
    <w:rsid w:val="003B413B"/>
    <w:rsid w:val="003C1BEA"/>
    <w:rsid w:val="003C5CF2"/>
    <w:rsid w:val="003D1204"/>
    <w:rsid w:val="003D28CF"/>
    <w:rsid w:val="003F0AEC"/>
    <w:rsid w:val="003F29BE"/>
    <w:rsid w:val="003F6F16"/>
    <w:rsid w:val="00400C68"/>
    <w:rsid w:val="00407ABF"/>
    <w:rsid w:val="00414A21"/>
    <w:rsid w:val="004448B4"/>
    <w:rsid w:val="00464D3A"/>
    <w:rsid w:val="00481DED"/>
    <w:rsid w:val="004847F6"/>
    <w:rsid w:val="004923FD"/>
    <w:rsid w:val="0049597B"/>
    <w:rsid w:val="004C00AB"/>
    <w:rsid w:val="004C433A"/>
    <w:rsid w:val="004E3BA5"/>
    <w:rsid w:val="004F4B11"/>
    <w:rsid w:val="00503380"/>
    <w:rsid w:val="00510C5A"/>
    <w:rsid w:val="005804E2"/>
    <w:rsid w:val="00594E65"/>
    <w:rsid w:val="005A679C"/>
    <w:rsid w:val="005B6487"/>
    <w:rsid w:val="005F7874"/>
    <w:rsid w:val="00603B23"/>
    <w:rsid w:val="00631615"/>
    <w:rsid w:val="00640E79"/>
    <w:rsid w:val="00645E5F"/>
    <w:rsid w:val="00686CCE"/>
    <w:rsid w:val="006900E6"/>
    <w:rsid w:val="00694D92"/>
    <w:rsid w:val="00696330"/>
    <w:rsid w:val="00696DDD"/>
    <w:rsid w:val="006C1A9E"/>
    <w:rsid w:val="006E774C"/>
    <w:rsid w:val="006F4B04"/>
    <w:rsid w:val="006F5BC8"/>
    <w:rsid w:val="00710A50"/>
    <w:rsid w:val="0071360D"/>
    <w:rsid w:val="007142B0"/>
    <w:rsid w:val="00727C11"/>
    <w:rsid w:val="00732AF9"/>
    <w:rsid w:val="00760165"/>
    <w:rsid w:val="00761198"/>
    <w:rsid w:val="007B7187"/>
    <w:rsid w:val="007C6379"/>
    <w:rsid w:val="007E1281"/>
    <w:rsid w:val="007E18C6"/>
    <w:rsid w:val="007F5D7B"/>
    <w:rsid w:val="00803645"/>
    <w:rsid w:val="00822FBF"/>
    <w:rsid w:val="0082357F"/>
    <w:rsid w:val="00847B53"/>
    <w:rsid w:val="008A10B9"/>
    <w:rsid w:val="008B34C3"/>
    <w:rsid w:val="008C04FA"/>
    <w:rsid w:val="008C31A7"/>
    <w:rsid w:val="008D6166"/>
    <w:rsid w:val="00901E1F"/>
    <w:rsid w:val="0090606F"/>
    <w:rsid w:val="0092660A"/>
    <w:rsid w:val="00937815"/>
    <w:rsid w:val="009660B9"/>
    <w:rsid w:val="009C08FC"/>
    <w:rsid w:val="009E03A9"/>
    <w:rsid w:val="009E21B0"/>
    <w:rsid w:val="009E74F5"/>
    <w:rsid w:val="009F7625"/>
    <w:rsid w:val="00A607EA"/>
    <w:rsid w:val="00A65BF9"/>
    <w:rsid w:val="00A865F8"/>
    <w:rsid w:val="00A921D2"/>
    <w:rsid w:val="00A9552D"/>
    <w:rsid w:val="00AA0389"/>
    <w:rsid w:val="00AC1381"/>
    <w:rsid w:val="00AE2365"/>
    <w:rsid w:val="00AE2A39"/>
    <w:rsid w:val="00B004C7"/>
    <w:rsid w:val="00B242A6"/>
    <w:rsid w:val="00B812CF"/>
    <w:rsid w:val="00B83BE6"/>
    <w:rsid w:val="00B907E6"/>
    <w:rsid w:val="00B97827"/>
    <w:rsid w:val="00BB21BD"/>
    <w:rsid w:val="00BD0749"/>
    <w:rsid w:val="00BD42C4"/>
    <w:rsid w:val="00BD53A9"/>
    <w:rsid w:val="00C11614"/>
    <w:rsid w:val="00C131A9"/>
    <w:rsid w:val="00C22127"/>
    <w:rsid w:val="00C30C58"/>
    <w:rsid w:val="00C55031"/>
    <w:rsid w:val="00C551A3"/>
    <w:rsid w:val="00C81C3D"/>
    <w:rsid w:val="00C87F0D"/>
    <w:rsid w:val="00C90026"/>
    <w:rsid w:val="00C95A55"/>
    <w:rsid w:val="00CC46DD"/>
    <w:rsid w:val="00CF49C1"/>
    <w:rsid w:val="00CF6D3C"/>
    <w:rsid w:val="00D0123C"/>
    <w:rsid w:val="00D124B3"/>
    <w:rsid w:val="00D27695"/>
    <w:rsid w:val="00D3260D"/>
    <w:rsid w:val="00D373A0"/>
    <w:rsid w:val="00D52E2F"/>
    <w:rsid w:val="00D75BB4"/>
    <w:rsid w:val="00D77368"/>
    <w:rsid w:val="00DF2E1F"/>
    <w:rsid w:val="00DF333B"/>
    <w:rsid w:val="00E137F3"/>
    <w:rsid w:val="00E23E58"/>
    <w:rsid w:val="00E26C7D"/>
    <w:rsid w:val="00E4148D"/>
    <w:rsid w:val="00E5049D"/>
    <w:rsid w:val="00EB1BF4"/>
    <w:rsid w:val="00ED7AEF"/>
    <w:rsid w:val="00EE0533"/>
    <w:rsid w:val="00EE549C"/>
    <w:rsid w:val="00F055A6"/>
    <w:rsid w:val="00F17B6E"/>
    <w:rsid w:val="00F56B20"/>
    <w:rsid w:val="00F60DC9"/>
    <w:rsid w:val="00F633D5"/>
    <w:rsid w:val="00F74411"/>
    <w:rsid w:val="00F86B6E"/>
    <w:rsid w:val="00F95B69"/>
    <w:rsid w:val="00FA1C6C"/>
    <w:rsid w:val="00FA20A4"/>
    <w:rsid w:val="00FA6A56"/>
    <w:rsid w:val="00FA7197"/>
    <w:rsid w:val="00FC04A4"/>
    <w:rsid w:val="00FE27DE"/>
    <w:rsid w:val="00FF082F"/>
    <w:rsid w:val="00FF14C1"/>
    <w:rsid w:val="00FF5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E29"/>
  <w15:docId w15:val="{441CE45C-ED2B-49E7-8FE4-5B1DFE05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3C1B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BEA"/>
    <w:rPr>
      <w:b/>
      <w:bCs/>
    </w:rPr>
  </w:style>
  <w:style w:type="character" w:customStyle="1" w:styleId="ds-markdown-html">
    <w:name w:val="ds-markdown-html"/>
    <w:basedOn w:val="DefaultParagraphFont"/>
    <w:rsid w:val="003C1BEA"/>
  </w:style>
  <w:style w:type="paragraph" w:styleId="Revision">
    <w:name w:val="Revision"/>
    <w:hidden/>
    <w:uiPriority w:val="99"/>
    <w:semiHidden/>
    <w:rsid w:val="00F60DC9"/>
    <w:pPr>
      <w:spacing w:after="0" w:line="240" w:lineRule="auto"/>
    </w:pPr>
  </w:style>
  <w:style w:type="paragraph" w:styleId="Header">
    <w:name w:val="header"/>
    <w:basedOn w:val="Normal"/>
    <w:link w:val="HeaderChar"/>
    <w:uiPriority w:val="99"/>
    <w:unhideWhenUsed/>
    <w:rsid w:val="00D1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4B3"/>
  </w:style>
  <w:style w:type="paragraph" w:styleId="Footer">
    <w:name w:val="footer"/>
    <w:basedOn w:val="Normal"/>
    <w:link w:val="FooterChar"/>
    <w:uiPriority w:val="99"/>
    <w:unhideWhenUsed/>
    <w:rsid w:val="00D1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4B3"/>
  </w:style>
  <w:style w:type="paragraph" w:styleId="NormalWeb">
    <w:name w:val="Normal (Web)"/>
    <w:basedOn w:val="Normal"/>
    <w:uiPriority w:val="99"/>
    <w:semiHidden/>
    <w:unhideWhenUsed/>
    <w:rsid w:val="00C30C5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03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23"/>
    <w:rPr>
      <w:rFonts w:ascii="Tahoma" w:hAnsi="Tahoma" w:cs="Tahoma"/>
      <w:sz w:val="16"/>
      <w:szCs w:val="16"/>
    </w:rPr>
  </w:style>
  <w:style w:type="paragraph" w:styleId="ListParagraph">
    <w:name w:val="List Paragraph"/>
    <w:basedOn w:val="Normal"/>
    <w:uiPriority w:val="34"/>
    <w:qFormat/>
    <w:rsid w:val="00291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076">
      <w:bodyDiv w:val="1"/>
      <w:marLeft w:val="0"/>
      <w:marRight w:val="0"/>
      <w:marTop w:val="0"/>
      <w:marBottom w:val="0"/>
      <w:divBdr>
        <w:top w:val="none" w:sz="0" w:space="0" w:color="auto"/>
        <w:left w:val="none" w:sz="0" w:space="0" w:color="auto"/>
        <w:bottom w:val="none" w:sz="0" w:space="0" w:color="auto"/>
        <w:right w:val="none" w:sz="0" w:space="0" w:color="auto"/>
      </w:divBdr>
    </w:div>
    <w:div w:id="280382539">
      <w:bodyDiv w:val="1"/>
      <w:marLeft w:val="0"/>
      <w:marRight w:val="0"/>
      <w:marTop w:val="0"/>
      <w:marBottom w:val="0"/>
      <w:divBdr>
        <w:top w:val="none" w:sz="0" w:space="0" w:color="auto"/>
        <w:left w:val="none" w:sz="0" w:space="0" w:color="auto"/>
        <w:bottom w:val="none" w:sz="0" w:space="0" w:color="auto"/>
        <w:right w:val="none" w:sz="0" w:space="0" w:color="auto"/>
      </w:divBdr>
    </w:div>
    <w:div w:id="330526283">
      <w:bodyDiv w:val="1"/>
      <w:marLeft w:val="0"/>
      <w:marRight w:val="0"/>
      <w:marTop w:val="0"/>
      <w:marBottom w:val="0"/>
      <w:divBdr>
        <w:top w:val="none" w:sz="0" w:space="0" w:color="auto"/>
        <w:left w:val="none" w:sz="0" w:space="0" w:color="auto"/>
        <w:bottom w:val="none" w:sz="0" w:space="0" w:color="auto"/>
        <w:right w:val="none" w:sz="0" w:space="0" w:color="auto"/>
      </w:divBdr>
    </w:div>
    <w:div w:id="372930211">
      <w:bodyDiv w:val="1"/>
      <w:marLeft w:val="0"/>
      <w:marRight w:val="0"/>
      <w:marTop w:val="0"/>
      <w:marBottom w:val="0"/>
      <w:divBdr>
        <w:top w:val="none" w:sz="0" w:space="0" w:color="auto"/>
        <w:left w:val="none" w:sz="0" w:space="0" w:color="auto"/>
        <w:bottom w:val="none" w:sz="0" w:space="0" w:color="auto"/>
        <w:right w:val="none" w:sz="0" w:space="0" w:color="auto"/>
      </w:divBdr>
    </w:div>
    <w:div w:id="636498814">
      <w:bodyDiv w:val="1"/>
      <w:marLeft w:val="0"/>
      <w:marRight w:val="0"/>
      <w:marTop w:val="0"/>
      <w:marBottom w:val="0"/>
      <w:divBdr>
        <w:top w:val="none" w:sz="0" w:space="0" w:color="auto"/>
        <w:left w:val="none" w:sz="0" w:space="0" w:color="auto"/>
        <w:bottom w:val="none" w:sz="0" w:space="0" w:color="auto"/>
        <w:right w:val="none" w:sz="0" w:space="0" w:color="auto"/>
      </w:divBdr>
    </w:div>
    <w:div w:id="667250732">
      <w:bodyDiv w:val="1"/>
      <w:marLeft w:val="0"/>
      <w:marRight w:val="0"/>
      <w:marTop w:val="0"/>
      <w:marBottom w:val="0"/>
      <w:divBdr>
        <w:top w:val="none" w:sz="0" w:space="0" w:color="auto"/>
        <w:left w:val="none" w:sz="0" w:space="0" w:color="auto"/>
        <w:bottom w:val="none" w:sz="0" w:space="0" w:color="auto"/>
        <w:right w:val="none" w:sz="0" w:space="0" w:color="auto"/>
      </w:divBdr>
    </w:div>
    <w:div w:id="737098351">
      <w:bodyDiv w:val="1"/>
      <w:marLeft w:val="0"/>
      <w:marRight w:val="0"/>
      <w:marTop w:val="0"/>
      <w:marBottom w:val="0"/>
      <w:divBdr>
        <w:top w:val="none" w:sz="0" w:space="0" w:color="auto"/>
        <w:left w:val="none" w:sz="0" w:space="0" w:color="auto"/>
        <w:bottom w:val="none" w:sz="0" w:space="0" w:color="auto"/>
        <w:right w:val="none" w:sz="0" w:space="0" w:color="auto"/>
      </w:divBdr>
    </w:div>
    <w:div w:id="879708800">
      <w:bodyDiv w:val="1"/>
      <w:marLeft w:val="0"/>
      <w:marRight w:val="0"/>
      <w:marTop w:val="0"/>
      <w:marBottom w:val="0"/>
      <w:divBdr>
        <w:top w:val="none" w:sz="0" w:space="0" w:color="auto"/>
        <w:left w:val="none" w:sz="0" w:space="0" w:color="auto"/>
        <w:bottom w:val="none" w:sz="0" w:space="0" w:color="auto"/>
        <w:right w:val="none" w:sz="0" w:space="0" w:color="auto"/>
      </w:divBdr>
    </w:div>
    <w:div w:id="898176444">
      <w:bodyDiv w:val="1"/>
      <w:marLeft w:val="0"/>
      <w:marRight w:val="0"/>
      <w:marTop w:val="0"/>
      <w:marBottom w:val="0"/>
      <w:divBdr>
        <w:top w:val="none" w:sz="0" w:space="0" w:color="auto"/>
        <w:left w:val="none" w:sz="0" w:space="0" w:color="auto"/>
        <w:bottom w:val="none" w:sz="0" w:space="0" w:color="auto"/>
        <w:right w:val="none" w:sz="0" w:space="0" w:color="auto"/>
      </w:divBdr>
    </w:div>
    <w:div w:id="1148672776">
      <w:bodyDiv w:val="1"/>
      <w:marLeft w:val="0"/>
      <w:marRight w:val="0"/>
      <w:marTop w:val="0"/>
      <w:marBottom w:val="0"/>
      <w:divBdr>
        <w:top w:val="none" w:sz="0" w:space="0" w:color="auto"/>
        <w:left w:val="none" w:sz="0" w:space="0" w:color="auto"/>
        <w:bottom w:val="none" w:sz="0" w:space="0" w:color="auto"/>
        <w:right w:val="none" w:sz="0" w:space="0" w:color="auto"/>
      </w:divBdr>
    </w:div>
    <w:div w:id="1248265036">
      <w:bodyDiv w:val="1"/>
      <w:marLeft w:val="0"/>
      <w:marRight w:val="0"/>
      <w:marTop w:val="0"/>
      <w:marBottom w:val="0"/>
      <w:divBdr>
        <w:top w:val="none" w:sz="0" w:space="0" w:color="auto"/>
        <w:left w:val="none" w:sz="0" w:space="0" w:color="auto"/>
        <w:bottom w:val="none" w:sz="0" w:space="0" w:color="auto"/>
        <w:right w:val="none" w:sz="0" w:space="0" w:color="auto"/>
      </w:divBdr>
    </w:div>
    <w:div w:id="1262688932">
      <w:bodyDiv w:val="1"/>
      <w:marLeft w:val="0"/>
      <w:marRight w:val="0"/>
      <w:marTop w:val="0"/>
      <w:marBottom w:val="0"/>
      <w:divBdr>
        <w:top w:val="none" w:sz="0" w:space="0" w:color="auto"/>
        <w:left w:val="none" w:sz="0" w:space="0" w:color="auto"/>
        <w:bottom w:val="none" w:sz="0" w:space="0" w:color="auto"/>
        <w:right w:val="none" w:sz="0" w:space="0" w:color="auto"/>
      </w:divBdr>
    </w:div>
    <w:div w:id="1370178076">
      <w:bodyDiv w:val="1"/>
      <w:marLeft w:val="0"/>
      <w:marRight w:val="0"/>
      <w:marTop w:val="0"/>
      <w:marBottom w:val="0"/>
      <w:divBdr>
        <w:top w:val="none" w:sz="0" w:space="0" w:color="auto"/>
        <w:left w:val="none" w:sz="0" w:space="0" w:color="auto"/>
        <w:bottom w:val="none" w:sz="0" w:space="0" w:color="auto"/>
        <w:right w:val="none" w:sz="0" w:space="0" w:color="auto"/>
      </w:divBdr>
    </w:div>
    <w:div w:id="1376351100">
      <w:bodyDiv w:val="1"/>
      <w:marLeft w:val="0"/>
      <w:marRight w:val="0"/>
      <w:marTop w:val="0"/>
      <w:marBottom w:val="0"/>
      <w:divBdr>
        <w:top w:val="none" w:sz="0" w:space="0" w:color="auto"/>
        <w:left w:val="none" w:sz="0" w:space="0" w:color="auto"/>
        <w:bottom w:val="none" w:sz="0" w:space="0" w:color="auto"/>
        <w:right w:val="none" w:sz="0" w:space="0" w:color="auto"/>
      </w:divBdr>
      <w:divsChild>
        <w:div w:id="75247954">
          <w:marLeft w:val="0"/>
          <w:marRight w:val="0"/>
          <w:marTop w:val="0"/>
          <w:marBottom w:val="0"/>
          <w:divBdr>
            <w:top w:val="none" w:sz="0" w:space="0" w:color="auto"/>
            <w:left w:val="none" w:sz="0" w:space="0" w:color="auto"/>
            <w:bottom w:val="none" w:sz="0" w:space="0" w:color="auto"/>
            <w:right w:val="none" w:sz="0" w:space="0" w:color="auto"/>
          </w:divBdr>
          <w:divsChild>
            <w:div w:id="942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3753">
      <w:bodyDiv w:val="1"/>
      <w:marLeft w:val="0"/>
      <w:marRight w:val="0"/>
      <w:marTop w:val="0"/>
      <w:marBottom w:val="0"/>
      <w:divBdr>
        <w:top w:val="none" w:sz="0" w:space="0" w:color="auto"/>
        <w:left w:val="none" w:sz="0" w:space="0" w:color="auto"/>
        <w:bottom w:val="none" w:sz="0" w:space="0" w:color="auto"/>
        <w:right w:val="none" w:sz="0" w:space="0" w:color="auto"/>
      </w:divBdr>
    </w:div>
    <w:div w:id="1787701204">
      <w:bodyDiv w:val="1"/>
      <w:marLeft w:val="0"/>
      <w:marRight w:val="0"/>
      <w:marTop w:val="0"/>
      <w:marBottom w:val="0"/>
      <w:divBdr>
        <w:top w:val="none" w:sz="0" w:space="0" w:color="auto"/>
        <w:left w:val="none" w:sz="0" w:space="0" w:color="auto"/>
        <w:bottom w:val="none" w:sz="0" w:space="0" w:color="auto"/>
        <w:right w:val="none" w:sz="0" w:space="0" w:color="auto"/>
      </w:divBdr>
    </w:div>
    <w:div w:id="1969971699">
      <w:bodyDiv w:val="1"/>
      <w:marLeft w:val="0"/>
      <w:marRight w:val="0"/>
      <w:marTop w:val="0"/>
      <w:marBottom w:val="0"/>
      <w:divBdr>
        <w:top w:val="none" w:sz="0" w:space="0" w:color="auto"/>
        <w:left w:val="none" w:sz="0" w:space="0" w:color="auto"/>
        <w:bottom w:val="none" w:sz="0" w:space="0" w:color="auto"/>
        <w:right w:val="none" w:sz="0" w:space="0" w:color="auto"/>
      </w:divBdr>
    </w:div>
    <w:div w:id="20363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9FA6F-EB67-4ECA-809E-E17FB628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22310</Words>
  <Characters>127168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HIEUMINH</dc:creator>
  <cp:keywords/>
  <dc:description/>
  <cp:lastModifiedBy>Windows User</cp:lastModifiedBy>
  <cp:revision>3</cp:revision>
  <dcterms:created xsi:type="dcterms:W3CDTF">2026-03-09T03:52:00Z</dcterms:created>
  <dcterms:modified xsi:type="dcterms:W3CDTF">2026-03-09T03:52:00Z</dcterms:modified>
</cp:coreProperties>
</file>