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1444C" w14:textId="32CC39B8" w:rsidR="00AA3CAB" w:rsidRPr="000F1664" w:rsidRDefault="00AA3CAB" w:rsidP="00AA3CAB">
      <w:pPr>
        <w:spacing w:before="120" w:after="120"/>
        <w:jc w:val="center"/>
        <w:rPr>
          <w:rFonts w:ascii="Times New Roman" w:hAnsi="Times New Roman" w:cs="Times New Roman"/>
          <w:b/>
          <w:sz w:val="28"/>
          <w:szCs w:val="28"/>
          <w:shd w:val="clear" w:color="auto" w:fill="FFFFFF"/>
        </w:rPr>
      </w:pPr>
      <w:bookmarkStart w:id="0" w:name="_GoBack"/>
      <w:bookmarkEnd w:id="0"/>
      <w:r w:rsidRPr="000F1664">
        <w:rPr>
          <w:rFonts w:ascii="Times New Roman" w:hAnsi="Times New Roman" w:cs="Times New Roman"/>
          <w:b/>
          <w:sz w:val="28"/>
          <w:szCs w:val="28"/>
          <w:shd w:val="clear" w:color="auto" w:fill="FFFFFF"/>
        </w:rPr>
        <w:t xml:space="preserve">Danh sách thông báo về dự thảo và quy định có hiệu lực về an toàn thực phẩm và kiểm dịch động, </w:t>
      </w:r>
      <w:r w:rsidRPr="000F1664">
        <w:rPr>
          <w:rFonts w:ascii="Times New Roman" w:hAnsi="Times New Roman" w:cs="Times New Roman"/>
          <w:b/>
          <w:sz w:val="28"/>
          <w:szCs w:val="28"/>
          <w:shd w:val="clear" w:color="auto" w:fill="FFFFFF"/>
        </w:rPr>
        <w:br/>
        <w:t>thực vật của các thành viên Tổ chức Thương mại thế giới (WTO) từ ngày 21/</w:t>
      </w:r>
      <w:r w:rsidR="009207B2">
        <w:rPr>
          <w:rFonts w:ascii="Times New Roman" w:hAnsi="Times New Roman" w:cs="Times New Roman"/>
          <w:b/>
          <w:sz w:val="28"/>
          <w:szCs w:val="28"/>
          <w:shd w:val="clear" w:color="auto" w:fill="FFFFFF"/>
          <w:lang w:val="en-US"/>
        </w:rPr>
        <w:t>6</w:t>
      </w:r>
      <w:r w:rsidRPr="000F1664">
        <w:rPr>
          <w:rFonts w:ascii="Times New Roman" w:hAnsi="Times New Roman" w:cs="Times New Roman"/>
          <w:b/>
          <w:sz w:val="28"/>
          <w:szCs w:val="28"/>
          <w:shd w:val="clear" w:color="auto" w:fill="FFFFFF"/>
        </w:rPr>
        <w:t>-20/</w:t>
      </w:r>
      <w:r w:rsidR="009207B2">
        <w:rPr>
          <w:rFonts w:ascii="Times New Roman" w:hAnsi="Times New Roman" w:cs="Times New Roman"/>
          <w:b/>
          <w:sz w:val="28"/>
          <w:szCs w:val="28"/>
          <w:shd w:val="clear" w:color="auto" w:fill="FFFFFF"/>
          <w:lang w:val="en-US"/>
        </w:rPr>
        <w:t>7</w:t>
      </w:r>
      <w:r w:rsidRPr="000F1664">
        <w:rPr>
          <w:rFonts w:ascii="Times New Roman" w:hAnsi="Times New Roman" w:cs="Times New Roman"/>
          <w:b/>
          <w:sz w:val="28"/>
          <w:szCs w:val="28"/>
          <w:shd w:val="clear" w:color="auto" w:fill="FFFFFF"/>
        </w:rPr>
        <w:t>/2022</w:t>
      </w:r>
    </w:p>
    <w:p w14:paraId="7A39AB8B" w14:textId="2778F6A6" w:rsidR="00D90970" w:rsidRPr="000F1664" w:rsidRDefault="00AA3CAB" w:rsidP="00AA3CAB">
      <w:pPr>
        <w:pStyle w:val="ListParagraph"/>
        <w:numPr>
          <w:ilvl w:val="0"/>
          <w:numId w:val="1"/>
        </w:numPr>
        <w:rPr>
          <w:rFonts w:ascii="Times New Roman" w:hAnsi="Times New Roman" w:cs="Times New Roman"/>
          <w:bCs/>
        </w:rPr>
      </w:pPr>
      <w:r w:rsidRPr="000F1664">
        <w:rPr>
          <w:rFonts w:ascii="Times New Roman" w:hAnsi="Times New Roman" w:cs="Times New Roman"/>
          <w:bCs/>
          <w:sz w:val="28"/>
          <w:szCs w:val="28"/>
          <w:shd w:val="clear" w:color="auto" w:fill="FFFFFF"/>
        </w:rPr>
        <w:t>Danh sách dự thảo lấy ý kiến góp ý</w:t>
      </w:r>
    </w:p>
    <w:tbl>
      <w:tblPr>
        <w:tblW w:w="1468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6"/>
        <w:gridCol w:w="2082"/>
        <w:gridCol w:w="734"/>
        <w:gridCol w:w="1078"/>
        <w:gridCol w:w="1255"/>
        <w:gridCol w:w="3393"/>
        <w:gridCol w:w="5508"/>
      </w:tblGrid>
      <w:tr w:rsidR="000F1664" w:rsidRPr="000F1664" w14:paraId="0E84FB97" w14:textId="77777777" w:rsidTr="006E5650">
        <w:trPr>
          <w:trHeight w:val="206"/>
        </w:trPr>
        <w:tc>
          <w:tcPr>
            <w:tcW w:w="636" w:type="dxa"/>
            <w:shd w:val="clear" w:color="auto" w:fill="EEEEEE"/>
            <w:vAlign w:val="center"/>
          </w:tcPr>
          <w:p w14:paraId="3CE4B33C" w14:textId="468C9734" w:rsidR="00AA3CAB" w:rsidRPr="000F1664" w:rsidRDefault="00AA3CAB" w:rsidP="00AA3CAB">
            <w:pPr>
              <w:spacing w:after="92" w:line="240" w:lineRule="auto"/>
              <w:jc w:val="center"/>
              <w:rPr>
                <w:rFonts w:ascii="Times New Roman" w:eastAsia="Times New Roman" w:hAnsi="Times New Roman" w:cs="Times New Roman"/>
                <w:b/>
                <w:bCs/>
                <w:sz w:val="24"/>
                <w:szCs w:val="24"/>
                <w:lang w:val="en-US"/>
              </w:rPr>
            </w:pPr>
            <w:r w:rsidRPr="000F1664">
              <w:rPr>
                <w:rFonts w:ascii="Times New Roman" w:hAnsi="Times New Roman" w:cs="Times New Roman"/>
                <w:b/>
                <w:bCs/>
                <w:sz w:val="24"/>
                <w:szCs w:val="24"/>
              </w:rPr>
              <w:t>STT</w:t>
            </w:r>
          </w:p>
        </w:tc>
        <w:tc>
          <w:tcPr>
            <w:tcW w:w="2082" w:type="dxa"/>
            <w:shd w:val="clear" w:color="auto" w:fill="EEEEEE"/>
            <w:tcMar>
              <w:top w:w="46" w:type="dxa"/>
              <w:left w:w="46" w:type="dxa"/>
              <w:bottom w:w="46" w:type="dxa"/>
              <w:right w:w="46" w:type="dxa"/>
            </w:tcMar>
            <w:vAlign w:val="center"/>
          </w:tcPr>
          <w:p w14:paraId="1176EDDB" w14:textId="4FFD20EB" w:rsidR="00AA3CAB" w:rsidRPr="000F1664" w:rsidRDefault="00AA3CAB" w:rsidP="00AA3CAB">
            <w:pPr>
              <w:spacing w:after="92" w:line="240" w:lineRule="auto"/>
              <w:jc w:val="center"/>
              <w:rPr>
                <w:rFonts w:ascii="Times New Roman" w:eastAsia="Times New Roman" w:hAnsi="Times New Roman" w:cs="Times New Roman"/>
                <w:b/>
                <w:bCs/>
                <w:lang w:val="en-US"/>
              </w:rPr>
            </w:pPr>
            <w:r w:rsidRPr="000F1664">
              <w:rPr>
                <w:rFonts w:ascii="Times New Roman" w:eastAsia="Times New Roman" w:hAnsi="Times New Roman" w:cs="Times New Roman"/>
                <w:b/>
                <w:bCs/>
                <w:lang w:val="en-US"/>
              </w:rPr>
              <w:t>Mã WTO</w:t>
            </w:r>
          </w:p>
        </w:tc>
        <w:tc>
          <w:tcPr>
            <w:tcW w:w="734" w:type="dxa"/>
            <w:shd w:val="clear" w:color="auto" w:fill="EEEEEE"/>
            <w:tcMar>
              <w:top w:w="46" w:type="dxa"/>
              <w:left w:w="46" w:type="dxa"/>
              <w:bottom w:w="46" w:type="dxa"/>
              <w:right w:w="46" w:type="dxa"/>
            </w:tcMar>
          </w:tcPr>
          <w:p w14:paraId="1A8FB5DD" w14:textId="77777777" w:rsidR="00AA3CAB" w:rsidRPr="000F1664" w:rsidRDefault="00AA3CAB" w:rsidP="00AA3CAB">
            <w:pPr>
              <w:spacing w:after="92" w:line="240" w:lineRule="auto"/>
              <w:jc w:val="center"/>
              <w:rPr>
                <w:rFonts w:ascii="Times New Roman" w:eastAsia="Times New Roman" w:hAnsi="Times New Roman" w:cs="Times New Roman"/>
                <w:b/>
                <w:bCs/>
                <w:lang w:val="en-US"/>
              </w:rPr>
            </w:pPr>
            <w:r w:rsidRPr="000F1664">
              <w:rPr>
                <w:rFonts w:ascii="Times New Roman" w:eastAsia="Times New Roman" w:hAnsi="Times New Roman" w:cs="Times New Roman"/>
                <w:b/>
                <w:bCs/>
                <w:lang w:val="en-US"/>
              </w:rPr>
              <w:t>Lĩnh vực</w:t>
            </w:r>
          </w:p>
        </w:tc>
        <w:tc>
          <w:tcPr>
            <w:tcW w:w="1078" w:type="dxa"/>
            <w:shd w:val="clear" w:color="auto" w:fill="EEEEEE"/>
            <w:tcMar>
              <w:top w:w="46" w:type="dxa"/>
              <w:left w:w="46" w:type="dxa"/>
              <w:bottom w:w="46" w:type="dxa"/>
              <w:right w:w="46" w:type="dxa"/>
            </w:tcMar>
            <w:vAlign w:val="center"/>
            <w:hideMark/>
          </w:tcPr>
          <w:p w14:paraId="1640A7D2" w14:textId="77777777" w:rsidR="00AA3CAB" w:rsidRPr="000F1664" w:rsidRDefault="00AA3CAB" w:rsidP="00AA3CAB">
            <w:pPr>
              <w:spacing w:after="92" w:line="240" w:lineRule="auto"/>
              <w:jc w:val="center"/>
              <w:rPr>
                <w:rFonts w:ascii="Times New Roman" w:eastAsia="Times New Roman" w:hAnsi="Times New Roman" w:cs="Times New Roman"/>
                <w:b/>
                <w:bCs/>
                <w:sz w:val="24"/>
                <w:szCs w:val="24"/>
                <w:lang w:val="en-US"/>
              </w:rPr>
            </w:pPr>
            <w:r w:rsidRPr="000F1664">
              <w:rPr>
                <w:rFonts w:ascii="Times New Roman" w:eastAsia="Times New Roman" w:hAnsi="Times New Roman" w:cs="Times New Roman"/>
                <w:b/>
                <w:bCs/>
                <w:sz w:val="24"/>
                <w:szCs w:val="24"/>
                <w:lang w:val="en-US"/>
              </w:rPr>
              <w:t>Quốc gia</w:t>
            </w:r>
          </w:p>
        </w:tc>
        <w:tc>
          <w:tcPr>
            <w:tcW w:w="1255" w:type="dxa"/>
            <w:shd w:val="clear" w:color="auto" w:fill="EEEEEE"/>
            <w:tcMar>
              <w:top w:w="46" w:type="dxa"/>
              <w:left w:w="46" w:type="dxa"/>
              <w:bottom w:w="46" w:type="dxa"/>
              <w:right w:w="46" w:type="dxa"/>
            </w:tcMar>
            <w:vAlign w:val="center"/>
            <w:hideMark/>
          </w:tcPr>
          <w:p w14:paraId="4972D02C" w14:textId="77777777" w:rsidR="00AA3CAB" w:rsidRPr="000F1664" w:rsidRDefault="00AA3CAB" w:rsidP="00AA3CAB">
            <w:pPr>
              <w:spacing w:after="92" w:line="240" w:lineRule="auto"/>
              <w:jc w:val="center"/>
              <w:rPr>
                <w:rFonts w:ascii="Times New Roman" w:eastAsia="Times New Roman" w:hAnsi="Times New Roman" w:cs="Times New Roman"/>
                <w:b/>
                <w:bCs/>
                <w:sz w:val="24"/>
                <w:szCs w:val="24"/>
                <w:lang w:val="en-US"/>
              </w:rPr>
            </w:pPr>
            <w:r w:rsidRPr="000F1664">
              <w:rPr>
                <w:rFonts w:ascii="Times New Roman" w:eastAsia="Times New Roman" w:hAnsi="Times New Roman" w:cs="Times New Roman"/>
                <w:b/>
                <w:bCs/>
                <w:sz w:val="24"/>
                <w:szCs w:val="24"/>
                <w:lang w:val="en-US"/>
              </w:rPr>
              <w:t>Ngày thông báo</w:t>
            </w:r>
          </w:p>
        </w:tc>
        <w:tc>
          <w:tcPr>
            <w:tcW w:w="3393" w:type="dxa"/>
            <w:shd w:val="clear" w:color="auto" w:fill="EEEEEE"/>
            <w:tcMar>
              <w:top w:w="46" w:type="dxa"/>
              <w:left w:w="46" w:type="dxa"/>
              <w:bottom w:w="46" w:type="dxa"/>
              <w:right w:w="46" w:type="dxa"/>
            </w:tcMar>
            <w:vAlign w:val="center"/>
            <w:hideMark/>
          </w:tcPr>
          <w:p w14:paraId="54A8FA41" w14:textId="77777777" w:rsidR="00AA3CAB" w:rsidRPr="000F1664" w:rsidRDefault="00AA3CAB" w:rsidP="00AA3CAB">
            <w:pPr>
              <w:spacing w:after="92" w:line="240" w:lineRule="auto"/>
              <w:jc w:val="both"/>
              <w:rPr>
                <w:rFonts w:ascii="Times New Roman" w:eastAsia="Times New Roman" w:hAnsi="Times New Roman" w:cs="Times New Roman"/>
                <w:b/>
                <w:bCs/>
                <w:sz w:val="24"/>
                <w:szCs w:val="24"/>
                <w:lang w:val="en-US"/>
              </w:rPr>
            </w:pPr>
            <w:r w:rsidRPr="000F1664">
              <w:rPr>
                <w:rFonts w:ascii="Times New Roman" w:eastAsia="Times New Roman" w:hAnsi="Times New Roman" w:cs="Times New Roman"/>
                <w:b/>
                <w:bCs/>
                <w:sz w:val="24"/>
                <w:szCs w:val="24"/>
                <w:lang w:val="en-US"/>
              </w:rPr>
              <w:t>Tiêu đề</w:t>
            </w:r>
          </w:p>
        </w:tc>
        <w:tc>
          <w:tcPr>
            <w:tcW w:w="5508" w:type="dxa"/>
            <w:shd w:val="clear" w:color="auto" w:fill="EEEEEE"/>
            <w:tcMar>
              <w:top w:w="46" w:type="dxa"/>
              <w:left w:w="46" w:type="dxa"/>
              <w:bottom w:w="46" w:type="dxa"/>
              <w:right w:w="46" w:type="dxa"/>
            </w:tcMar>
            <w:vAlign w:val="center"/>
            <w:hideMark/>
          </w:tcPr>
          <w:p w14:paraId="71957A62" w14:textId="77777777" w:rsidR="00AA3CAB" w:rsidRPr="000F1664" w:rsidRDefault="00AA3CAB" w:rsidP="008C4A9B">
            <w:pPr>
              <w:spacing w:after="0" w:line="240" w:lineRule="auto"/>
              <w:jc w:val="both"/>
              <w:rPr>
                <w:rFonts w:ascii="Times New Roman" w:eastAsia="Times New Roman" w:hAnsi="Times New Roman" w:cs="Times New Roman"/>
                <w:b/>
                <w:bCs/>
                <w:sz w:val="24"/>
                <w:szCs w:val="24"/>
                <w:lang w:val="en-US"/>
              </w:rPr>
            </w:pPr>
            <w:r w:rsidRPr="000F1664">
              <w:rPr>
                <w:rFonts w:ascii="Times New Roman" w:eastAsia="Times New Roman" w:hAnsi="Times New Roman" w:cs="Times New Roman"/>
                <w:b/>
                <w:bCs/>
                <w:sz w:val="24"/>
                <w:szCs w:val="24"/>
                <w:lang w:val="en-US"/>
              </w:rPr>
              <w:t>Tóm tắt</w:t>
            </w:r>
          </w:p>
        </w:tc>
      </w:tr>
      <w:tr w:rsidR="000F1664" w:rsidRPr="000F1664" w14:paraId="3091B6E5" w14:textId="77777777" w:rsidTr="006E5650">
        <w:trPr>
          <w:trHeight w:val="692"/>
        </w:trPr>
        <w:tc>
          <w:tcPr>
            <w:tcW w:w="636" w:type="dxa"/>
            <w:shd w:val="clear" w:color="auto" w:fill="FFFFFF"/>
            <w:vAlign w:val="center"/>
          </w:tcPr>
          <w:p w14:paraId="62EFB952" w14:textId="1A917E89" w:rsidR="00AA3CAB" w:rsidRPr="000F1664" w:rsidRDefault="00AA3CAB" w:rsidP="00AA3CAB">
            <w:pPr>
              <w:spacing w:after="92"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1</w:t>
            </w:r>
          </w:p>
        </w:tc>
        <w:tc>
          <w:tcPr>
            <w:tcW w:w="2082" w:type="dxa"/>
            <w:shd w:val="clear" w:color="auto" w:fill="FFFFFF"/>
            <w:tcMar>
              <w:top w:w="37" w:type="dxa"/>
              <w:left w:w="37" w:type="dxa"/>
              <w:bottom w:w="37" w:type="dxa"/>
              <w:right w:w="37" w:type="dxa"/>
            </w:tcMar>
          </w:tcPr>
          <w:p w14:paraId="1EB4783F" w14:textId="2CBCD2CC" w:rsidR="00AA3CAB" w:rsidRPr="000F1664" w:rsidRDefault="00AA3CAB" w:rsidP="00AA3CAB">
            <w:pPr>
              <w:spacing w:after="92"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G/SPS/N/BRA/1822/</w:t>
            </w:r>
            <w:r w:rsidRPr="000F1664">
              <w:rPr>
                <w:rFonts w:ascii="Times New Roman" w:eastAsia="Times New Roman" w:hAnsi="Times New Roman" w:cs="Times New Roman"/>
                <w:lang w:val="en-US"/>
              </w:rPr>
              <w:br/>
              <w:t>Add.2</w:t>
            </w:r>
          </w:p>
        </w:tc>
        <w:tc>
          <w:tcPr>
            <w:tcW w:w="734" w:type="dxa"/>
            <w:shd w:val="clear" w:color="auto" w:fill="FFFFFF"/>
            <w:tcMar>
              <w:top w:w="37" w:type="dxa"/>
              <w:left w:w="37" w:type="dxa"/>
              <w:bottom w:w="37" w:type="dxa"/>
              <w:right w:w="37" w:type="dxa"/>
            </w:tcMar>
          </w:tcPr>
          <w:p w14:paraId="0C75B8B2" w14:textId="77777777" w:rsidR="00AA3CAB" w:rsidRPr="000F1664" w:rsidRDefault="00AA3CAB" w:rsidP="00AA3CAB">
            <w:pPr>
              <w:spacing w:after="92"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shd w:val="clear" w:color="auto" w:fill="FFFFFF"/>
            <w:tcMar>
              <w:top w:w="37" w:type="dxa"/>
              <w:left w:w="37" w:type="dxa"/>
              <w:bottom w:w="37" w:type="dxa"/>
              <w:right w:w="37" w:type="dxa"/>
            </w:tcMar>
            <w:hideMark/>
          </w:tcPr>
          <w:p w14:paraId="1B3B33CC" w14:textId="77777777" w:rsidR="00AA3CAB" w:rsidRPr="000F1664" w:rsidRDefault="00AA3CAB" w:rsidP="00AA3CAB">
            <w:pPr>
              <w:spacing w:after="92"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Bờ-ra-xin</w:t>
            </w:r>
          </w:p>
        </w:tc>
        <w:tc>
          <w:tcPr>
            <w:tcW w:w="1255" w:type="dxa"/>
            <w:shd w:val="clear" w:color="auto" w:fill="FFFFFF"/>
            <w:tcMar>
              <w:top w:w="37" w:type="dxa"/>
              <w:left w:w="37" w:type="dxa"/>
              <w:bottom w:w="37" w:type="dxa"/>
              <w:right w:w="37" w:type="dxa"/>
            </w:tcMar>
            <w:hideMark/>
          </w:tcPr>
          <w:p w14:paraId="493ED640" w14:textId="77777777" w:rsidR="00AA3CAB" w:rsidRPr="000F1664" w:rsidRDefault="00AA3CAB" w:rsidP="00AA3CAB">
            <w:pPr>
              <w:spacing w:after="92"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20/07/2022</w:t>
            </w:r>
          </w:p>
        </w:tc>
        <w:tc>
          <w:tcPr>
            <w:tcW w:w="3393" w:type="dxa"/>
            <w:shd w:val="clear" w:color="auto" w:fill="FFFFFF"/>
            <w:tcMar>
              <w:top w:w="37" w:type="dxa"/>
              <w:left w:w="37" w:type="dxa"/>
              <w:bottom w:w="37" w:type="dxa"/>
              <w:right w:w="37" w:type="dxa"/>
            </w:tcMar>
            <w:hideMark/>
          </w:tcPr>
          <w:p w14:paraId="0AAE377C" w14:textId="6A6ED257" w:rsidR="00AA3CAB" w:rsidRPr="000F1664" w:rsidRDefault="00AA3CAB"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 phạm hướng dẫn (Instrução Normativa) số 85 ngày 24 tháng 8 năm 2020. Danh sách các loài gây hại không cần kiểm dịch (PQA) trong Phụ lục Quy phạm hướng dẫn SDA số 39 ngày 1 tháng 10 năm 2018 xuất bản trong DOU ngày 2 tháng 10 năm 2018</w:t>
            </w:r>
          </w:p>
        </w:tc>
        <w:tc>
          <w:tcPr>
            <w:tcW w:w="5508" w:type="dxa"/>
            <w:shd w:val="clear" w:color="auto" w:fill="FFFFFF"/>
            <w:tcMar>
              <w:top w:w="37" w:type="dxa"/>
              <w:left w:w="37" w:type="dxa"/>
              <w:bottom w:w="37" w:type="dxa"/>
              <w:right w:w="37" w:type="dxa"/>
            </w:tcMar>
          </w:tcPr>
          <w:p w14:paraId="5893488B" w14:textId="200240F3" w:rsidR="00AA3CAB" w:rsidRPr="000F1664" w:rsidRDefault="00AA3CAB" w:rsidP="008C4A9B">
            <w:pPr>
              <w:pStyle w:val="NormalWeb"/>
              <w:shd w:val="clear" w:color="auto" w:fill="FFFFFF"/>
              <w:spacing w:before="0" w:beforeAutospacing="0" w:after="0" w:afterAutospacing="0"/>
              <w:jc w:val="both"/>
            </w:pPr>
            <w:r w:rsidRPr="000F1664">
              <w:t xml:space="preserve">Sắc lệnh SDA số 617 ngày 11 tháng 7 năm 2022 - Cập nhật danh sách </w:t>
            </w:r>
            <w:r w:rsidRPr="000F1664">
              <w:rPr>
                <w:lang w:val="en-US"/>
              </w:rPr>
              <w:t>Các loài gây hại không cần kiểm dịch</w:t>
            </w:r>
            <w:r w:rsidRPr="000F1664">
              <w:t xml:space="preserve"> (PQA) </w:t>
            </w:r>
            <w:r w:rsidRPr="000F1664">
              <w:rPr>
                <w:lang w:val="en-US"/>
              </w:rPr>
              <w:t>của</w:t>
            </w:r>
            <w:r w:rsidRPr="000F1664">
              <w:t xml:space="preserve"> Bờ-ra-xin.</w:t>
            </w:r>
          </w:p>
          <w:p w14:paraId="2552D4B0" w14:textId="77777777" w:rsidR="00AA3CAB" w:rsidRPr="000F1664" w:rsidRDefault="00AA3CAB" w:rsidP="008C4A9B">
            <w:pPr>
              <w:pStyle w:val="NormalWeb"/>
              <w:shd w:val="clear" w:color="auto" w:fill="FFFFFF"/>
              <w:spacing w:before="0" w:beforeAutospacing="0" w:after="0" w:afterAutospacing="0"/>
              <w:jc w:val="both"/>
            </w:pPr>
            <w:r w:rsidRPr="000F1664">
              <w:t>https://www.in.gov.br/en/web/dou/-/portaria-sda-n-617-de-11-de-julho-de-2022-414419145</w:t>
            </w:r>
          </w:p>
          <w:p w14:paraId="75B635C2" w14:textId="77777777" w:rsidR="00AA3CAB" w:rsidRPr="000F1664" w:rsidRDefault="00AA3CAB" w:rsidP="008C4A9B">
            <w:pPr>
              <w:pStyle w:val="NormalWeb"/>
              <w:shd w:val="clear" w:color="auto" w:fill="FFFFFF"/>
              <w:spacing w:before="0" w:beforeAutospacing="0" w:after="0" w:afterAutospacing="0"/>
              <w:jc w:val="both"/>
            </w:pPr>
            <w:r w:rsidRPr="000F1664">
              <w:t>https://members.wto.org/crnattachments/2022/SPS/BRA/22_4776_00_x.pdf</w:t>
            </w:r>
          </w:p>
          <w:p w14:paraId="6A393ACD" w14:textId="77777777" w:rsidR="00AA3CAB" w:rsidRPr="000F1664" w:rsidRDefault="00AA3CAB" w:rsidP="008C4A9B">
            <w:pPr>
              <w:pStyle w:val="NormalWeb"/>
              <w:shd w:val="clear" w:color="auto" w:fill="FFFFFF"/>
              <w:spacing w:before="0" w:beforeAutospacing="0" w:after="0" w:afterAutospacing="0"/>
              <w:jc w:val="both"/>
            </w:pPr>
            <w:r w:rsidRPr="000F1664">
              <w:t>Phụ lục liên quan: Sửa đổi nội dung/phạm vi dự thảo đã thông báo trước đó</w:t>
            </w:r>
          </w:p>
        </w:tc>
      </w:tr>
      <w:tr w:rsidR="000F1664" w:rsidRPr="000F1664" w14:paraId="651026A8" w14:textId="77777777" w:rsidTr="006E5650">
        <w:trPr>
          <w:trHeight w:val="562"/>
        </w:trPr>
        <w:tc>
          <w:tcPr>
            <w:tcW w:w="636" w:type="dxa"/>
            <w:shd w:val="clear" w:color="auto" w:fill="FFFFFF"/>
            <w:vAlign w:val="center"/>
          </w:tcPr>
          <w:p w14:paraId="5F0C6CBF" w14:textId="5AAFFCAC" w:rsidR="00AA3CAB" w:rsidRPr="00A36C1F" w:rsidRDefault="00AA3CAB" w:rsidP="00AA3CAB">
            <w:pPr>
              <w:spacing w:after="0" w:line="240" w:lineRule="auto"/>
              <w:jc w:val="center"/>
              <w:rPr>
                <w:rFonts w:ascii="Times New Roman" w:eastAsia="Times New Roman" w:hAnsi="Times New Roman" w:cs="Times New Roman"/>
                <w:sz w:val="24"/>
                <w:szCs w:val="24"/>
              </w:rPr>
            </w:pPr>
            <w:r w:rsidRPr="00A36C1F">
              <w:rPr>
                <w:rFonts w:ascii="Times New Roman" w:hAnsi="Times New Roman" w:cs="Times New Roman"/>
                <w:sz w:val="24"/>
                <w:szCs w:val="24"/>
                <w:lang w:val="vi-VN"/>
              </w:rPr>
              <w:t>2</w:t>
            </w:r>
          </w:p>
        </w:tc>
        <w:tc>
          <w:tcPr>
            <w:tcW w:w="2082" w:type="dxa"/>
            <w:shd w:val="clear" w:color="auto" w:fill="FFFFFF"/>
            <w:tcMar>
              <w:top w:w="37" w:type="dxa"/>
              <w:left w:w="37" w:type="dxa"/>
              <w:bottom w:w="37" w:type="dxa"/>
              <w:right w:w="37" w:type="dxa"/>
            </w:tcMar>
          </w:tcPr>
          <w:p w14:paraId="612242A9" w14:textId="21A55722" w:rsidR="00AA3CAB" w:rsidRPr="00A36C1F" w:rsidRDefault="00AA3CAB" w:rsidP="00AA3CAB">
            <w:pPr>
              <w:spacing w:after="0" w:line="240" w:lineRule="auto"/>
              <w:jc w:val="center"/>
              <w:rPr>
                <w:rFonts w:ascii="Times New Roman" w:eastAsia="Times New Roman" w:hAnsi="Times New Roman" w:cs="Times New Roman"/>
                <w:lang w:val="en-US"/>
              </w:rPr>
            </w:pPr>
            <w:r w:rsidRPr="00A36C1F">
              <w:rPr>
                <w:rFonts w:ascii="Times New Roman" w:eastAsia="Times New Roman" w:hAnsi="Times New Roman" w:cs="Times New Roman"/>
                <w:lang w:val="en-US"/>
              </w:rPr>
              <w:t>G/SPS/N/NPL/35</w:t>
            </w:r>
          </w:p>
        </w:tc>
        <w:tc>
          <w:tcPr>
            <w:tcW w:w="734" w:type="dxa"/>
            <w:shd w:val="clear" w:color="auto" w:fill="FFFFFF"/>
            <w:tcMar>
              <w:top w:w="37" w:type="dxa"/>
              <w:left w:w="37" w:type="dxa"/>
              <w:bottom w:w="37" w:type="dxa"/>
              <w:right w:w="37" w:type="dxa"/>
            </w:tcMar>
          </w:tcPr>
          <w:p w14:paraId="7A643491" w14:textId="77777777" w:rsidR="00AA3CAB" w:rsidRPr="00A36C1F" w:rsidRDefault="00AA3CAB" w:rsidP="00AA3CAB">
            <w:pPr>
              <w:spacing w:after="0" w:line="240" w:lineRule="auto"/>
              <w:jc w:val="center"/>
              <w:rPr>
                <w:rFonts w:ascii="Times New Roman" w:eastAsia="Times New Roman" w:hAnsi="Times New Roman" w:cs="Times New Roman"/>
                <w:lang w:val="en-US"/>
              </w:rPr>
            </w:pPr>
            <w:r w:rsidRPr="00A36C1F">
              <w:rPr>
                <w:rFonts w:ascii="Times New Roman" w:eastAsia="Times New Roman" w:hAnsi="Times New Roman" w:cs="Times New Roman"/>
                <w:lang w:val="en-US"/>
              </w:rPr>
              <w:t>ATTP, BVTV, TY, QLCL, CT</w:t>
            </w:r>
          </w:p>
        </w:tc>
        <w:tc>
          <w:tcPr>
            <w:tcW w:w="1078" w:type="dxa"/>
            <w:shd w:val="clear" w:color="auto" w:fill="FFFFFF"/>
            <w:tcMar>
              <w:top w:w="37" w:type="dxa"/>
              <w:left w:w="37" w:type="dxa"/>
              <w:bottom w:w="37" w:type="dxa"/>
              <w:right w:w="37" w:type="dxa"/>
            </w:tcMar>
            <w:hideMark/>
          </w:tcPr>
          <w:p w14:paraId="7141A372" w14:textId="77777777" w:rsidR="00AA3CAB" w:rsidRPr="00A36C1F" w:rsidRDefault="00AA3CAB" w:rsidP="00AA3CAB">
            <w:pPr>
              <w:spacing w:after="0" w:line="240" w:lineRule="auto"/>
              <w:jc w:val="center"/>
              <w:rPr>
                <w:rFonts w:ascii="Times New Roman" w:eastAsia="Times New Roman" w:hAnsi="Times New Roman" w:cs="Times New Roman"/>
                <w:sz w:val="24"/>
                <w:szCs w:val="24"/>
                <w:lang w:val="en-US"/>
              </w:rPr>
            </w:pPr>
            <w:r w:rsidRPr="00A36C1F">
              <w:rPr>
                <w:rFonts w:ascii="Times New Roman" w:eastAsia="Times New Roman" w:hAnsi="Times New Roman" w:cs="Times New Roman"/>
                <w:sz w:val="24"/>
                <w:szCs w:val="24"/>
                <w:lang w:val="en-US"/>
              </w:rPr>
              <w:t>Nê-pan</w:t>
            </w:r>
          </w:p>
        </w:tc>
        <w:tc>
          <w:tcPr>
            <w:tcW w:w="1255" w:type="dxa"/>
            <w:shd w:val="clear" w:color="auto" w:fill="FFFFFF"/>
            <w:tcMar>
              <w:top w:w="37" w:type="dxa"/>
              <w:left w:w="37" w:type="dxa"/>
              <w:bottom w:w="37" w:type="dxa"/>
              <w:right w:w="37" w:type="dxa"/>
            </w:tcMar>
            <w:hideMark/>
          </w:tcPr>
          <w:p w14:paraId="7E284785" w14:textId="77777777" w:rsidR="00AA3CAB" w:rsidRPr="00A36C1F" w:rsidRDefault="00AA3CAB" w:rsidP="00AA3CAB">
            <w:pPr>
              <w:spacing w:after="0" w:line="240" w:lineRule="auto"/>
              <w:jc w:val="center"/>
              <w:rPr>
                <w:rFonts w:ascii="Times New Roman" w:eastAsia="Times New Roman" w:hAnsi="Times New Roman" w:cs="Times New Roman"/>
                <w:sz w:val="24"/>
                <w:szCs w:val="24"/>
                <w:lang w:val="en-US"/>
              </w:rPr>
            </w:pPr>
            <w:r w:rsidRPr="00A36C1F">
              <w:rPr>
                <w:rFonts w:ascii="Times New Roman" w:eastAsia="Times New Roman" w:hAnsi="Times New Roman" w:cs="Times New Roman"/>
                <w:sz w:val="24"/>
                <w:szCs w:val="24"/>
                <w:lang w:val="en-US"/>
              </w:rPr>
              <w:t>19/07/2022</w:t>
            </w:r>
          </w:p>
        </w:tc>
        <w:tc>
          <w:tcPr>
            <w:tcW w:w="3393" w:type="dxa"/>
            <w:shd w:val="clear" w:color="auto" w:fill="FFFFFF"/>
            <w:tcMar>
              <w:top w:w="37" w:type="dxa"/>
              <w:left w:w="37" w:type="dxa"/>
              <w:bottom w:w="37" w:type="dxa"/>
              <w:right w:w="37" w:type="dxa"/>
            </w:tcMar>
            <w:hideMark/>
          </w:tcPr>
          <w:p w14:paraId="6A4CA3F0" w14:textId="311046F9" w:rsidR="00AA3CAB" w:rsidRPr="00A36C1F" w:rsidRDefault="00AA3CAB" w:rsidP="00AA3CAB">
            <w:pPr>
              <w:spacing w:after="0" w:line="240" w:lineRule="auto"/>
              <w:jc w:val="both"/>
              <w:rPr>
                <w:rFonts w:ascii="Times New Roman" w:eastAsia="Times New Roman" w:hAnsi="Times New Roman" w:cs="Times New Roman"/>
                <w:sz w:val="24"/>
                <w:szCs w:val="24"/>
                <w:lang w:val="en-US"/>
              </w:rPr>
            </w:pPr>
            <w:r w:rsidRPr="00A36C1F">
              <w:rPr>
                <w:rFonts w:ascii="Times New Roman" w:eastAsia="Times New Roman" w:hAnsi="Times New Roman" w:cs="Times New Roman"/>
                <w:sz w:val="24"/>
                <w:szCs w:val="24"/>
                <w:lang w:val="en-US"/>
              </w:rPr>
              <w:t>Đề xuất giới hạn tối đa kim loại nặng trong thực phẩm.</w:t>
            </w:r>
          </w:p>
        </w:tc>
        <w:tc>
          <w:tcPr>
            <w:tcW w:w="5508" w:type="dxa"/>
            <w:shd w:val="clear" w:color="auto" w:fill="FFFFFF"/>
            <w:tcMar>
              <w:top w:w="37" w:type="dxa"/>
              <w:left w:w="37" w:type="dxa"/>
              <w:bottom w:w="37" w:type="dxa"/>
              <w:right w:w="37" w:type="dxa"/>
            </w:tcMar>
          </w:tcPr>
          <w:p w14:paraId="193A1A50" w14:textId="77777777" w:rsidR="00AA3CAB" w:rsidRPr="000F1664" w:rsidRDefault="00AA3CAB" w:rsidP="008C4A9B">
            <w:pPr>
              <w:spacing w:after="0" w:line="240" w:lineRule="auto"/>
              <w:jc w:val="both"/>
              <w:rPr>
                <w:rFonts w:ascii="Times New Roman" w:eastAsia="Times New Roman" w:hAnsi="Times New Roman" w:cs="Times New Roman"/>
                <w:sz w:val="24"/>
                <w:szCs w:val="24"/>
                <w:lang w:val="en-US"/>
              </w:rPr>
            </w:pPr>
            <w:r w:rsidRPr="00A36C1F">
              <w:rPr>
                <w:rFonts w:ascii="Times New Roman" w:hAnsi="Times New Roman" w:cs="Times New Roman"/>
                <w:sz w:val="24"/>
                <w:szCs w:val="24"/>
                <w:shd w:val="clear" w:color="auto" w:fill="FFFFFF"/>
              </w:rPr>
              <w:t xml:space="preserve">Cục Quản lý chất lượng và công nghệ thực phẩm (Bộ nông nghiệp và phát triển </w:t>
            </w:r>
            <w:r w:rsidRPr="00A36C1F">
              <w:rPr>
                <w:rFonts w:ascii="Times New Roman" w:hAnsi="Times New Roman" w:cs="Times New Roman"/>
                <w:sz w:val="24"/>
                <w:szCs w:val="24"/>
                <w:shd w:val="clear" w:color="auto" w:fill="FFFFFF"/>
                <w:lang w:val="en-US"/>
              </w:rPr>
              <w:t>c</w:t>
            </w:r>
            <w:r w:rsidRPr="00A36C1F">
              <w:rPr>
                <w:rFonts w:ascii="Times New Roman" w:hAnsi="Times New Roman" w:cs="Times New Roman"/>
                <w:sz w:val="24"/>
                <w:szCs w:val="24"/>
                <w:shd w:val="clear" w:color="auto" w:fill="FFFFFF"/>
              </w:rPr>
              <w:t>hăn nuôi Nepal</w:t>
            </w:r>
            <w:r w:rsidRPr="00A36C1F">
              <w:rPr>
                <w:rFonts w:ascii="Times New Roman" w:hAnsi="Times New Roman" w:cs="Times New Roman"/>
                <w:sz w:val="24"/>
                <w:szCs w:val="24"/>
                <w:shd w:val="clear" w:color="auto" w:fill="FFFFFF"/>
                <w:lang w:val="en-US"/>
              </w:rPr>
              <w:t>)</w:t>
            </w:r>
            <w:r w:rsidRPr="00A36C1F">
              <w:rPr>
                <w:rFonts w:ascii="Times New Roman" w:hAnsi="Times New Roman" w:cs="Times New Roman"/>
                <w:sz w:val="24"/>
                <w:szCs w:val="24"/>
                <w:shd w:val="clear" w:color="auto" w:fill="FFFFFF"/>
              </w:rPr>
              <w:t xml:space="preserve"> đề xuất giới hạn tối đa kim loại nặng </w:t>
            </w:r>
            <w:r w:rsidRPr="00A36C1F">
              <w:rPr>
                <w:rFonts w:ascii="Times New Roman" w:hAnsi="Times New Roman" w:cs="Times New Roman"/>
                <w:sz w:val="24"/>
                <w:szCs w:val="24"/>
                <w:shd w:val="clear" w:color="auto" w:fill="FFFFFF"/>
                <w:lang w:val="en-US"/>
              </w:rPr>
              <w:t>của</w:t>
            </w:r>
            <w:r w:rsidRPr="00A36C1F">
              <w:rPr>
                <w:rFonts w:ascii="Times New Roman" w:hAnsi="Times New Roman" w:cs="Times New Roman"/>
                <w:sz w:val="24"/>
                <w:szCs w:val="24"/>
                <w:shd w:val="clear" w:color="auto" w:fill="FFFFFF"/>
              </w:rPr>
              <w:t xml:space="preserve"> các sản phẩm lương thực – thực phẩm </w:t>
            </w:r>
            <w:r w:rsidRPr="00A36C1F">
              <w:rPr>
                <w:rFonts w:ascii="Times New Roman" w:hAnsi="Times New Roman" w:cs="Times New Roman"/>
                <w:sz w:val="24"/>
                <w:szCs w:val="24"/>
                <w:shd w:val="clear" w:color="auto" w:fill="FFFFFF"/>
                <w:lang w:val="en-US"/>
              </w:rPr>
              <w:t xml:space="preserve">nhằm mục đích </w:t>
            </w:r>
            <w:r w:rsidRPr="00A36C1F">
              <w:rPr>
                <w:rFonts w:ascii="Times New Roman" w:hAnsi="Times New Roman" w:cs="Times New Roman"/>
                <w:sz w:val="24"/>
                <w:szCs w:val="24"/>
                <w:shd w:val="clear" w:color="auto" w:fill="FFFFFF"/>
              </w:rPr>
              <w:t>bảo vệ sức khỏe người tiêu dùng và bình đẳng trong thương mại.</w:t>
            </w:r>
          </w:p>
        </w:tc>
      </w:tr>
      <w:tr w:rsidR="000F1664" w:rsidRPr="000F1664" w14:paraId="1E49BF80" w14:textId="77777777" w:rsidTr="006E5650">
        <w:trPr>
          <w:trHeight w:val="562"/>
        </w:trPr>
        <w:tc>
          <w:tcPr>
            <w:tcW w:w="636" w:type="dxa"/>
            <w:shd w:val="clear" w:color="auto" w:fill="FFFFFF"/>
            <w:vAlign w:val="center"/>
          </w:tcPr>
          <w:p w14:paraId="02627AB2" w14:textId="2C7D4773" w:rsidR="00AA3CAB" w:rsidRPr="000F1664" w:rsidRDefault="00AA3CAB"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3</w:t>
            </w:r>
          </w:p>
        </w:tc>
        <w:tc>
          <w:tcPr>
            <w:tcW w:w="2082" w:type="dxa"/>
            <w:shd w:val="clear" w:color="auto" w:fill="FFFFFF"/>
            <w:tcMar>
              <w:top w:w="37" w:type="dxa"/>
              <w:left w:w="37" w:type="dxa"/>
              <w:bottom w:w="37" w:type="dxa"/>
              <w:right w:w="37" w:type="dxa"/>
            </w:tcMar>
          </w:tcPr>
          <w:p w14:paraId="37A7F2B1" w14:textId="7AB4BA78" w:rsidR="00AA3CAB" w:rsidRPr="000F1664" w:rsidRDefault="00AA3CAB"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G/SPS/N/NPL/34</w:t>
            </w:r>
          </w:p>
        </w:tc>
        <w:tc>
          <w:tcPr>
            <w:tcW w:w="734" w:type="dxa"/>
            <w:shd w:val="clear" w:color="auto" w:fill="FFFFFF"/>
            <w:tcMar>
              <w:top w:w="37" w:type="dxa"/>
              <w:left w:w="37" w:type="dxa"/>
              <w:bottom w:w="37" w:type="dxa"/>
              <w:right w:w="37" w:type="dxa"/>
            </w:tcMar>
          </w:tcPr>
          <w:p w14:paraId="41164D36" w14:textId="77777777" w:rsidR="00AA3CAB" w:rsidRPr="000F1664" w:rsidRDefault="00AA3CAB"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w:t>
            </w:r>
          </w:p>
        </w:tc>
        <w:tc>
          <w:tcPr>
            <w:tcW w:w="1078" w:type="dxa"/>
            <w:shd w:val="clear" w:color="auto" w:fill="FFFFFF"/>
            <w:tcMar>
              <w:top w:w="37" w:type="dxa"/>
              <w:left w:w="37" w:type="dxa"/>
              <w:bottom w:w="37" w:type="dxa"/>
              <w:right w:w="37" w:type="dxa"/>
            </w:tcMar>
            <w:hideMark/>
          </w:tcPr>
          <w:p w14:paraId="0F9CF373" w14:textId="77777777" w:rsidR="00AA3CAB" w:rsidRPr="000F1664" w:rsidRDefault="00AA3CAB"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Nê-pan</w:t>
            </w:r>
          </w:p>
        </w:tc>
        <w:tc>
          <w:tcPr>
            <w:tcW w:w="1255" w:type="dxa"/>
            <w:shd w:val="clear" w:color="auto" w:fill="FFFFFF"/>
            <w:tcMar>
              <w:top w:w="37" w:type="dxa"/>
              <w:left w:w="37" w:type="dxa"/>
              <w:bottom w:w="37" w:type="dxa"/>
              <w:right w:w="37" w:type="dxa"/>
            </w:tcMar>
            <w:hideMark/>
          </w:tcPr>
          <w:p w14:paraId="13344CA9" w14:textId="77777777" w:rsidR="00AA3CAB" w:rsidRPr="000F1664" w:rsidRDefault="00AA3CAB"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19/07/2022</w:t>
            </w:r>
          </w:p>
        </w:tc>
        <w:tc>
          <w:tcPr>
            <w:tcW w:w="3393" w:type="dxa"/>
            <w:shd w:val="clear" w:color="auto" w:fill="FFFFFF"/>
            <w:tcMar>
              <w:top w:w="37" w:type="dxa"/>
              <w:left w:w="37" w:type="dxa"/>
              <w:bottom w:w="37" w:type="dxa"/>
              <w:right w:w="37" w:type="dxa"/>
            </w:tcMar>
            <w:hideMark/>
          </w:tcPr>
          <w:p w14:paraId="586DA69E" w14:textId="28299DDD" w:rsidR="00AA3CAB" w:rsidRPr="000F1664" w:rsidRDefault="00AA3CAB"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Đề xuất tiêu chuẩn thực phẩm bổ sung làm từ ngũ cốc cho trẻ sơ sinh và trẻ nhỏ (Tiêu chuẩn CBCF được phê duyệt).</w:t>
            </w:r>
          </w:p>
        </w:tc>
        <w:tc>
          <w:tcPr>
            <w:tcW w:w="5508" w:type="dxa"/>
            <w:shd w:val="clear" w:color="auto" w:fill="FFFFFF"/>
            <w:tcMar>
              <w:top w:w="37" w:type="dxa"/>
              <w:left w:w="37" w:type="dxa"/>
              <w:bottom w:w="37" w:type="dxa"/>
              <w:right w:w="37" w:type="dxa"/>
            </w:tcMar>
          </w:tcPr>
          <w:p w14:paraId="019DD039" w14:textId="77777777" w:rsidR="00AA3CAB" w:rsidRPr="000F1664" w:rsidRDefault="00AA3CAB" w:rsidP="008C4A9B">
            <w:pPr>
              <w:pStyle w:val="NormalWeb"/>
              <w:spacing w:before="0" w:beforeAutospacing="0" w:after="0" w:afterAutospacing="0"/>
              <w:jc w:val="both"/>
            </w:pPr>
            <w:r w:rsidRPr="000F1664">
              <w:rPr>
                <w:shd w:val="clear" w:color="auto" w:fill="FFFFFF"/>
              </w:rPr>
              <w:t xml:space="preserve">Cục Quản lý chất lượng và công nghệ thực phẩm (Bộ nông nghiệp và phát triển </w:t>
            </w:r>
            <w:r w:rsidRPr="000F1664">
              <w:rPr>
                <w:shd w:val="clear" w:color="auto" w:fill="FFFFFF"/>
                <w:lang w:val="en-US"/>
              </w:rPr>
              <w:t>c</w:t>
            </w:r>
            <w:r w:rsidRPr="000F1664">
              <w:rPr>
                <w:shd w:val="clear" w:color="auto" w:fill="FFFFFF"/>
              </w:rPr>
              <w:t>hăn nuôi Nepal</w:t>
            </w:r>
            <w:r w:rsidRPr="000F1664">
              <w:rPr>
                <w:shd w:val="clear" w:color="auto" w:fill="FFFFFF"/>
                <w:lang w:val="en-US"/>
              </w:rPr>
              <w:t>)</w:t>
            </w:r>
            <w:r w:rsidRPr="000F1664">
              <w:rPr>
                <w:shd w:val="clear" w:color="auto" w:fill="FFFFFF"/>
              </w:rPr>
              <w:t xml:space="preserve"> </w:t>
            </w:r>
            <w:r w:rsidRPr="000F1664">
              <w:t xml:space="preserve">đề xuất Tiêu chuẩn </w:t>
            </w:r>
            <w:r w:rsidRPr="000F1664">
              <w:rPr>
                <w:lang w:val="en-US"/>
              </w:rPr>
              <w:t>t</w:t>
            </w:r>
            <w:r w:rsidRPr="000F1664">
              <w:t xml:space="preserve">hực phẩm bổ sung </w:t>
            </w:r>
            <w:r w:rsidRPr="000F1664">
              <w:rPr>
                <w:lang w:val="en-US"/>
              </w:rPr>
              <w:t xml:space="preserve">làm </w:t>
            </w:r>
            <w:r w:rsidRPr="000F1664">
              <w:t xml:space="preserve">từ ngũ cốc cho trẻ sơ sinh và trẻ nhỏ </w:t>
            </w:r>
            <w:r w:rsidRPr="000F1664">
              <w:rPr>
                <w:lang w:val="en-US"/>
              </w:rPr>
              <w:t>nhằm mục đích</w:t>
            </w:r>
            <w:r w:rsidRPr="000F1664">
              <w:t xml:space="preserve"> bảo vệ sức khỏe trẻ sơ sinh và trẻ nhỏ, đảm bảo </w:t>
            </w:r>
            <w:r w:rsidRPr="000F1664">
              <w:rPr>
                <w:lang w:val="en-US"/>
              </w:rPr>
              <w:t xml:space="preserve">bình đẳng </w:t>
            </w:r>
            <w:r w:rsidRPr="000F1664">
              <w:t>thương mại bằng cách đảm bảo chất lượng và độ an toàn của sản phẩm theo tiêu chuẩn đã đề ra.</w:t>
            </w:r>
          </w:p>
        </w:tc>
      </w:tr>
      <w:tr w:rsidR="000F1664" w:rsidRPr="000F1664" w14:paraId="48E8AADF" w14:textId="77777777" w:rsidTr="006E5650">
        <w:trPr>
          <w:trHeight w:val="562"/>
        </w:trPr>
        <w:tc>
          <w:tcPr>
            <w:tcW w:w="636" w:type="dxa"/>
            <w:shd w:val="clear" w:color="auto" w:fill="FFFFFF"/>
            <w:vAlign w:val="center"/>
          </w:tcPr>
          <w:p w14:paraId="66F603ED" w14:textId="5D2ACF02" w:rsidR="00AA3CAB" w:rsidRPr="000F1664" w:rsidRDefault="00AA3CAB"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4</w:t>
            </w:r>
          </w:p>
        </w:tc>
        <w:tc>
          <w:tcPr>
            <w:tcW w:w="2082" w:type="dxa"/>
            <w:shd w:val="clear" w:color="auto" w:fill="FFFFFF"/>
            <w:tcMar>
              <w:top w:w="37" w:type="dxa"/>
              <w:left w:w="37" w:type="dxa"/>
              <w:bottom w:w="37" w:type="dxa"/>
              <w:right w:w="37" w:type="dxa"/>
            </w:tcMar>
          </w:tcPr>
          <w:p w14:paraId="0E444C19" w14:textId="17099DC3" w:rsidR="00AA3CAB" w:rsidRPr="000F1664" w:rsidRDefault="00AA3CAB"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G/SPS/N/EU/580</w:t>
            </w:r>
          </w:p>
        </w:tc>
        <w:tc>
          <w:tcPr>
            <w:tcW w:w="734" w:type="dxa"/>
            <w:shd w:val="clear" w:color="auto" w:fill="FFFFFF"/>
            <w:tcMar>
              <w:top w:w="37" w:type="dxa"/>
              <w:left w:w="37" w:type="dxa"/>
              <w:bottom w:w="37" w:type="dxa"/>
              <w:right w:w="37" w:type="dxa"/>
            </w:tcMar>
          </w:tcPr>
          <w:p w14:paraId="6D281BB5" w14:textId="77777777" w:rsidR="00AA3CAB" w:rsidRPr="000F1664" w:rsidRDefault="00AA3CAB"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 CT</w:t>
            </w:r>
          </w:p>
        </w:tc>
        <w:tc>
          <w:tcPr>
            <w:tcW w:w="1078" w:type="dxa"/>
            <w:shd w:val="clear" w:color="auto" w:fill="FFFFFF"/>
            <w:tcMar>
              <w:top w:w="37" w:type="dxa"/>
              <w:left w:w="37" w:type="dxa"/>
              <w:bottom w:w="37" w:type="dxa"/>
              <w:right w:w="37" w:type="dxa"/>
            </w:tcMar>
            <w:hideMark/>
          </w:tcPr>
          <w:p w14:paraId="36BBCEED" w14:textId="77777777" w:rsidR="00AA3CAB" w:rsidRPr="000F1664" w:rsidRDefault="00AA3CAB"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Liên minh châu Âu</w:t>
            </w:r>
          </w:p>
        </w:tc>
        <w:tc>
          <w:tcPr>
            <w:tcW w:w="1255" w:type="dxa"/>
            <w:shd w:val="clear" w:color="auto" w:fill="FFFFFF"/>
            <w:tcMar>
              <w:top w:w="37" w:type="dxa"/>
              <w:left w:w="37" w:type="dxa"/>
              <w:bottom w:w="37" w:type="dxa"/>
              <w:right w:w="37" w:type="dxa"/>
            </w:tcMar>
            <w:hideMark/>
          </w:tcPr>
          <w:p w14:paraId="5DFE2600" w14:textId="77777777" w:rsidR="00AA3CAB" w:rsidRPr="000F1664" w:rsidRDefault="00AA3CAB"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19/07/2022</w:t>
            </w:r>
          </w:p>
        </w:tc>
        <w:tc>
          <w:tcPr>
            <w:tcW w:w="3393" w:type="dxa"/>
            <w:shd w:val="clear" w:color="auto" w:fill="FFFFFF"/>
            <w:tcMar>
              <w:top w:w="37" w:type="dxa"/>
              <w:left w:w="37" w:type="dxa"/>
              <w:bottom w:w="37" w:type="dxa"/>
              <w:right w:w="37" w:type="dxa"/>
            </w:tcMar>
            <w:hideMark/>
          </w:tcPr>
          <w:p w14:paraId="7A04A7E9" w14:textId="614FD0D3" w:rsidR="00AA3CAB" w:rsidRPr="000F1664" w:rsidRDefault="00AA3CAB"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 xml:space="preserve">Thông báo của Ủy ban EU đối với những rủi ro và việc không tuân </w:t>
            </w:r>
            <w:r w:rsidRPr="000F1664">
              <w:rPr>
                <w:rFonts w:ascii="Times New Roman" w:eastAsia="Times New Roman" w:hAnsi="Times New Roman" w:cs="Times New Roman"/>
                <w:sz w:val="24"/>
                <w:szCs w:val="24"/>
                <w:lang w:val="en-US"/>
              </w:rPr>
              <w:lastRenderedPageBreak/>
              <w:t>thủ</w:t>
            </w:r>
            <w:r w:rsidRPr="000F1664">
              <w:rPr>
                <w:rFonts w:ascii="Times New Roman" w:hAnsi="Times New Roman" w:cs="Times New Roman"/>
                <w:sz w:val="24"/>
                <w:szCs w:val="24"/>
              </w:rPr>
              <w:t xml:space="preserve"> </w:t>
            </w:r>
            <w:r w:rsidRPr="000F1664">
              <w:rPr>
                <w:rFonts w:ascii="Times New Roman" w:eastAsia="Times New Roman" w:hAnsi="Times New Roman" w:cs="Times New Roman"/>
                <w:sz w:val="24"/>
                <w:szCs w:val="24"/>
                <w:lang w:val="en-US"/>
              </w:rPr>
              <w:t>quy định trong đánh giá định kỳ Quy định thực thi Ủy ban (EU) số 2019/1793.</w:t>
            </w:r>
          </w:p>
        </w:tc>
        <w:tc>
          <w:tcPr>
            <w:tcW w:w="5508" w:type="dxa"/>
            <w:shd w:val="clear" w:color="auto" w:fill="FFFFFF"/>
            <w:tcMar>
              <w:top w:w="37" w:type="dxa"/>
              <w:left w:w="37" w:type="dxa"/>
              <w:bottom w:w="37" w:type="dxa"/>
              <w:right w:w="37" w:type="dxa"/>
            </w:tcMar>
          </w:tcPr>
          <w:p w14:paraId="1FAA94A6" w14:textId="17DF9937" w:rsidR="00AA3CAB" w:rsidRPr="000F1664" w:rsidRDefault="00AA3CAB" w:rsidP="008C4A9B">
            <w:pPr>
              <w:pStyle w:val="NormalWeb"/>
              <w:shd w:val="clear" w:color="auto" w:fill="FFFFFF"/>
              <w:spacing w:before="0" w:beforeAutospacing="0" w:after="0" w:afterAutospacing="0"/>
              <w:jc w:val="both"/>
            </w:pPr>
            <w:r w:rsidRPr="000F1664">
              <w:lastRenderedPageBreak/>
              <w:t xml:space="preserve">Điều 12 Quy </w:t>
            </w:r>
            <w:r w:rsidRPr="000F1664">
              <w:rPr>
                <w:lang w:val="en-US"/>
              </w:rPr>
              <w:t>định</w:t>
            </w:r>
            <w:r w:rsidRPr="000F1664">
              <w:t xml:space="preserve"> thực thi</w:t>
            </w:r>
            <w:r w:rsidRPr="000F1664">
              <w:rPr>
                <w:lang w:val="en-US"/>
              </w:rPr>
              <w:t xml:space="preserve"> </w:t>
            </w:r>
            <w:r w:rsidRPr="000F1664">
              <w:t xml:space="preserve">(EU) </w:t>
            </w:r>
            <w:r w:rsidRPr="000F1664">
              <w:rPr>
                <w:lang w:val="en-US"/>
              </w:rPr>
              <w:t xml:space="preserve">số </w:t>
            </w:r>
            <w:r w:rsidRPr="000F1664">
              <w:t xml:space="preserve">2019/1793 yêu cầu Ủy ban xem xét </w:t>
            </w:r>
            <w:r w:rsidRPr="000F1664">
              <w:rPr>
                <w:lang w:val="en-US"/>
              </w:rPr>
              <w:t xml:space="preserve">đánh giá định kỳ danh sách </w:t>
            </w:r>
            <w:r w:rsidRPr="000F1664">
              <w:t xml:space="preserve">Phụ lục </w:t>
            </w:r>
            <w:r w:rsidRPr="000F1664">
              <w:rPr>
                <w:lang w:val="en-US"/>
              </w:rPr>
              <w:lastRenderedPageBreak/>
              <w:t>(</w:t>
            </w:r>
            <w:r w:rsidRPr="000F1664">
              <w:t>không quá sáu tháng)</w:t>
            </w:r>
            <w:r w:rsidRPr="000F1664">
              <w:rPr>
                <w:lang w:val="en-US"/>
              </w:rPr>
              <w:t xml:space="preserve"> đối với những rủi ro và việc không tuân thủ quy định mới</w:t>
            </w:r>
            <w:r w:rsidRPr="000F1664">
              <w:t>. Trong trường hợp rủi ro có thể xảy ra, hoặc có bằng chứng về việc không tuân thủ nghiêm trọng Luật thực phẩm nông sản của Liên minh châu Âu trên diện rộng, Liên minh sẽ áp dụng biện pháp tự vệ (điều kiện nhập khẩu đặc biệt, liệt kê các hàng hóa trong Phụ lục I/Phụ lục II ) đình chỉ nhập vào Liên minh (Phụ lục IIa).</w:t>
            </w:r>
          </w:p>
          <w:p w14:paraId="6E1579A5" w14:textId="77777777" w:rsidR="00AA3CAB" w:rsidRPr="000F1664" w:rsidRDefault="00AA3CAB" w:rsidP="008C4A9B">
            <w:pPr>
              <w:pStyle w:val="NormalWeb"/>
              <w:shd w:val="clear" w:color="auto" w:fill="FFFFFF"/>
              <w:spacing w:before="0" w:beforeAutospacing="0" w:after="0" w:afterAutospacing="0"/>
              <w:jc w:val="both"/>
              <w:rPr>
                <w:highlight w:val="yellow"/>
              </w:rPr>
            </w:pPr>
            <w:r w:rsidRPr="000F1664">
              <w:t>Thông báo của Ủy ban về thông tin về những rủi ro và việc không tuân thủ quy định trong đánh giá định kỳ Quy chế thực thi Ủy ban (EU) 2019/1793 giải thích các tiêu chí trong bối cảnh đánh giá định kỳ theo Điều 12 Quy chế thực thi Ủy ban (EU) 2019/1793. Thông báo nhằm minh bạch hóa các quy trình cho công dân, nhà điều hành doanh nghiệp, các cơ quan có thẩm quyền trong Liên minh, các vùng lãnh thổ, các nước thứ ba phải tuân thủ Quy định thực thi (EU) 2019/1793 khi nhập khẩu hàng vào Liên minh. Thông báo nhằm hỗ trợ các nhà điều hành doanh nghiệp, các cơ quan có thẩm quyền hiểu rõ hơn việc áp dụng Điều 12 của Quy chế Thực thi (EU) 2019/1793.</w:t>
            </w:r>
          </w:p>
        </w:tc>
      </w:tr>
      <w:tr w:rsidR="00963445" w:rsidRPr="000F1664" w14:paraId="24755224" w14:textId="77777777" w:rsidTr="006E5650">
        <w:trPr>
          <w:trHeight w:val="562"/>
        </w:trPr>
        <w:tc>
          <w:tcPr>
            <w:tcW w:w="636" w:type="dxa"/>
            <w:shd w:val="clear" w:color="auto" w:fill="FFFFFF"/>
            <w:vAlign w:val="center"/>
          </w:tcPr>
          <w:p w14:paraId="62931772" w14:textId="4E545D76" w:rsidR="00963445" w:rsidRPr="000F1664" w:rsidRDefault="00963445" w:rsidP="00AA3CAB">
            <w:pPr>
              <w:spacing w:after="0" w:line="240" w:lineRule="auto"/>
              <w:jc w:val="center"/>
              <w:rPr>
                <w:rFonts w:ascii="Times New Roman" w:eastAsia="Times New Roman" w:hAnsi="Times New Roman" w:cs="Times New Roman"/>
                <w:sz w:val="24"/>
                <w:szCs w:val="24"/>
                <w:highlight w:val="yellow"/>
              </w:rPr>
            </w:pPr>
            <w:r w:rsidRPr="000F1664">
              <w:rPr>
                <w:rFonts w:ascii="Times New Roman" w:hAnsi="Times New Roman" w:cs="Times New Roman"/>
                <w:sz w:val="24"/>
                <w:szCs w:val="24"/>
                <w:lang w:val="vi-VN"/>
              </w:rPr>
              <w:lastRenderedPageBreak/>
              <w:t>5</w:t>
            </w:r>
          </w:p>
        </w:tc>
        <w:tc>
          <w:tcPr>
            <w:tcW w:w="2082" w:type="dxa"/>
            <w:shd w:val="clear" w:color="auto" w:fill="FFFFFF"/>
            <w:tcMar>
              <w:top w:w="37" w:type="dxa"/>
              <w:left w:w="37" w:type="dxa"/>
              <w:bottom w:w="37" w:type="dxa"/>
              <w:right w:w="37" w:type="dxa"/>
            </w:tcMar>
          </w:tcPr>
          <w:p w14:paraId="20F017A3" w14:textId="509A098F"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G/SPS/N/USA/3341</w:t>
            </w:r>
          </w:p>
        </w:tc>
        <w:tc>
          <w:tcPr>
            <w:tcW w:w="734" w:type="dxa"/>
            <w:shd w:val="clear" w:color="auto" w:fill="FFFFFF"/>
            <w:tcMar>
              <w:top w:w="37" w:type="dxa"/>
              <w:left w:w="37" w:type="dxa"/>
              <w:bottom w:w="37" w:type="dxa"/>
              <w:right w:w="37" w:type="dxa"/>
            </w:tcMar>
          </w:tcPr>
          <w:p w14:paraId="35C78DE6" w14:textId="471223CB" w:rsidR="00963445" w:rsidRPr="000F1664" w:rsidRDefault="00963445" w:rsidP="00AA3CAB">
            <w:pPr>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ATTP, BVTV</w:t>
            </w:r>
          </w:p>
        </w:tc>
        <w:tc>
          <w:tcPr>
            <w:tcW w:w="1078" w:type="dxa"/>
            <w:shd w:val="clear" w:color="auto" w:fill="FFFFFF"/>
            <w:tcMar>
              <w:top w:w="37" w:type="dxa"/>
              <w:left w:w="37" w:type="dxa"/>
              <w:bottom w:w="37" w:type="dxa"/>
              <w:right w:w="37" w:type="dxa"/>
            </w:tcMar>
            <w:hideMark/>
          </w:tcPr>
          <w:p w14:paraId="439B878C" w14:textId="35F9C379"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Hoa Kỳ</w:t>
            </w:r>
          </w:p>
        </w:tc>
        <w:tc>
          <w:tcPr>
            <w:tcW w:w="1255" w:type="dxa"/>
            <w:shd w:val="clear" w:color="auto" w:fill="FFFFFF"/>
            <w:tcMar>
              <w:top w:w="37" w:type="dxa"/>
              <w:left w:w="37" w:type="dxa"/>
              <w:bottom w:w="37" w:type="dxa"/>
              <w:right w:w="37" w:type="dxa"/>
            </w:tcMar>
            <w:hideMark/>
          </w:tcPr>
          <w:p w14:paraId="40ABDB47" w14:textId="509A7AF9"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18/07/2022</w:t>
            </w:r>
          </w:p>
        </w:tc>
        <w:tc>
          <w:tcPr>
            <w:tcW w:w="3393" w:type="dxa"/>
            <w:shd w:val="clear" w:color="auto" w:fill="FFFFFF"/>
            <w:tcMar>
              <w:top w:w="37" w:type="dxa"/>
              <w:left w:w="37" w:type="dxa"/>
              <w:bottom w:w="37" w:type="dxa"/>
              <w:right w:w="37" w:type="dxa"/>
            </w:tcMar>
            <w:hideMark/>
          </w:tcPr>
          <w:p w14:paraId="1C080F55" w14:textId="4998C4E7"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Dung sai thuốc trừ sâu benoxacor. Quy tắc cuối cùng</w:t>
            </w:r>
          </w:p>
        </w:tc>
        <w:tc>
          <w:tcPr>
            <w:tcW w:w="5508" w:type="dxa"/>
            <w:shd w:val="clear" w:color="auto" w:fill="FFFFFF"/>
            <w:tcMar>
              <w:top w:w="37" w:type="dxa"/>
              <w:left w:w="37" w:type="dxa"/>
              <w:bottom w:w="37" w:type="dxa"/>
              <w:right w:w="37" w:type="dxa"/>
            </w:tcMar>
          </w:tcPr>
          <w:p w14:paraId="623EF622" w14:textId="54B24368" w:rsidR="00963445" w:rsidRPr="000F1664" w:rsidRDefault="00963445" w:rsidP="008C4A9B">
            <w:pPr>
              <w:pStyle w:val="NormalWeb"/>
              <w:shd w:val="clear" w:color="auto" w:fill="FFFFFF"/>
              <w:spacing w:before="0" w:beforeAutospacing="0" w:after="0" w:afterAutospacing="0"/>
              <w:jc w:val="both"/>
            </w:pPr>
            <w:r w:rsidRPr="000F1664">
              <w:t xml:space="preserve">Quy định sửa đổi dung sai dư lượng benoxacor trong ngô </w:t>
            </w:r>
            <w:r w:rsidRPr="000F1664">
              <w:rPr>
                <w:lang w:val="en-US"/>
              </w:rPr>
              <w:t>trồng</w:t>
            </w:r>
            <w:r w:rsidRPr="000F1664">
              <w:t xml:space="preserve">, bỏng ngô và ngô ngọt khi </w:t>
            </w:r>
            <w:r w:rsidRPr="000F1664">
              <w:rPr>
                <w:lang w:val="en-US"/>
              </w:rPr>
              <w:t xml:space="preserve">chất </w:t>
            </w:r>
            <w:r w:rsidRPr="000F1664">
              <w:t>được sử dụng như một thành phần trơ (chất an toàn cho thuốc diệt cỏ) trong công thức thuốc trừ sâu.</w:t>
            </w:r>
          </w:p>
        </w:tc>
      </w:tr>
      <w:tr w:rsidR="00963445" w:rsidRPr="000F1664" w14:paraId="0AAFBA31" w14:textId="77777777" w:rsidTr="006E5650">
        <w:trPr>
          <w:trHeight w:val="562"/>
        </w:trPr>
        <w:tc>
          <w:tcPr>
            <w:tcW w:w="636" w:type="dxa"/>
            <w:shd w:val="clear" w:color="auto" w:fill="FFFFFF"/>
            <w:vAlign w:val="center"/>
          </w:tcPr>
          <w:p w14:paraId="107D6809" w14:textId="15925AA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6</w:t>
            </w:r>
          </w:p>
        </w:tc>
        <w:tc>
          <w:tcPr>
            <w:tcW w:w="2082" w:type="dxa"/>
            <w:shd w:val="clear" w:color="auto" w:fill="FFFFFF"/>
            <w:tcMar>
              <w:top w:w="37" w:type="dxa"/>
              <w:left w:w="37" w:type="dxa"/>
              <w:bottom w:w="37" w:type="dxa"/>
              <w:right w:w="37" w:type="dxa"/>
            </w:tcMar>
          </w:tcPr>
          <w:p w14:paraId="43DCF61C" w14:textId="468B85F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G/SPS/N/USA/3340</w:t>
            </w:r>
          </w:p>
        </w:tc>
        <w:tc>
          <w:tcPr>
            <w:tcW w:w="734" w:type="dxa"/>
            <w:shd w:val="clear" w:color="auto" w:fill="FFFFFF"/>
            <w:tcMar>
              <w:top w:w="37" w:type="dxa"/>
              <w:left w:w="37" w:type="dxa"/>
              <w:bottom w:w="37" w:type="dxa"/>
              <w:right w:w="37" w:type="dxa"/>
            </w:tcMar>
          </w:tcPr>
          <w:p w14:paraId="0EDA7182" w14:textId="1E7AE9C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w:t>
            </w:r>
          </w:p>
        </w:tc>
        <w:tc>
          <w:tcPr>
            <w:tcW w:w="1078" w:type="dxa"/>
            <w:shd w:val="clear" w:color="auto" w:fill="FFFFFF"/>
            <w:tcMar>
              <w:top w:w="37" w:type="dxa"/>
              <w:left w:w="37" w:type="dxa"/>
              <w:bottom w:w="37" w:type="dxa"/>
              <w:right w:w="37" w:type="dxa"/>
            </w:tcMar>
            <w:hideMark/>
          </w:tcPr>
          <w:p w14:paraId="6D4139D4" w14:textId="6A1DC87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Hoa Kỳ</w:t>
            </w:r>
          </w:p>
        </w:tc>
        <w:tc>
          <w:tcPr>
            <w:tcW w:w="1255" w:type="dxa"/>
            <w:shd w:val="clear" w:color="auto" w:fill="FFFFFF"/>
            <w:tcMar>
              <w:top w:w="37" w:type="dxa"/>
              <w:left w:w="37" w:type="dxa"/>
              <w:bottom w:w="37" w:type="dxa"/>
              <w:right w:w="37" w:type="dxa"/>
            </w:tcMar>
            <w:hideMark/>
          </w:tcPr>
          <w:p w14:paraId="7A545D4B" w14:textId="163F893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18/07/2022</w:t>
            </w:r>
          </w:p>
        </w:tc>
        <w:tc>
          <w:tcPr>
            <w:tcW w:w="3393" w:type="dxa"/>
            <w:shd w:val="clear" w:color="auto" w:fill="FFFFFF"/>
            <w:tcMar>
              <w:top w:w="37" w:type="dxa"/>
              <w:left w:w="37" w:type="dxa"/>
              <w:bottom w:w="37" w:type="dxa"/>
              <w:right w:w="37" w:type="dxa"/>
            </w:tcMar>
            <w:hideMark/>
          </w:tcPr>
          <w:p w14:paraId="118BFA03" w14:textId="09F66A2A"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Dung sai thuốc trừ sâu</w:t>
            </w:r>
            <w:r w:rsidRPr="000F1664">
              <w:rPr>
                <w:rFonts w:ascii="Times New Roman" w:hAnsi="Times New Roman" w:cs="Times New Roman"/>
                <w:sz w:val="24"/>
                <w:szCs w:val="24"/>
              </w:rPr>
              <w:t xml:space="preserve"> </w:t>
            </w:r>
            <w:r w:rsidRPr="000F1664">
              <w:rPr>
                <w:rFonts w:ascii="Times New Roman" w:eastAsia="Times New Roman" w:hAnsi="Times New Roman" w:cs="Times New Roman"/>
                <w:sz w:val="24"/>
                <w:szCs w:val="24"/>
                <w:lang w:val="en-US"/>
              </w:rPr>
              <w:t>tribenuron metyl. Quy tắc cuối cùng</w:t>
            </w:r>
          </w:p>
        </w:tc>
        <w:tc>
          <w:tcPr>
            <w:tcW w:w="5508" w:type="dxa"/>
            <w:shd w:val="clear" w:color="auto" w:fill="FFFFFF"/>
            <w:tcMar>
              <w:top w:w="37" w:type="dxa"/>
              <w:left w:w="37" w:type="dxa"/>
              <w:bottom w:w="37" w:type="dxa"/>
              <w:right w:w="37" w:type="dxa"/>
            </w:tcMar>
          </w:tcPr>
          <w:p w14:paraId="420310FE" w14:textId="1858F425" w:rsidR="00963445" w:rsidRPr="000F1664" w:rsidRDefault="00963445" w:rsidP="008C4A9B">
            <w:pPr>
              <w:pStyle w:val="NormalWeb"/>
              <w:spacing w:before="0" w:beforeAutospacing="0" w:after="0" w:afterAutospacing="0"/>
              <w:jc w:val="both"/>
            </w:pPr>
            <w:r w:rsidRPr="000F1664">
              <w:rPr>
                <w:shd w:val="clear" w:color="auto" w:fill="FFFFFF"/>
              </w:rPr>
              <w:t>Quy định thiết lập dung sai dư lượng tribenuron metyl trong nhiều loại hàng hóa.</w:t>
            </w:r>
          </w:p>
        </w:tc>
      </w:tr>
      <w:tr w:rsidR="00963445" w:rsidRPr="000F1664" w14:paraId="735911DB" w14:textId="77777777" w:rsidTr="00B8192E">
        <w:trPr>
          <w:trHeight w:val="562"/>
        </w:trPr>
        <w:tc>
          <w:tcPr>
            <w:tcW w:w="636" w:type="dxa"/>
            <w:shd w:val="clear" w:color="auto" w:fill="FFFFFF"/>
            <w:vAlign w:val="center"/>
          </w:tcPr>
          <w:p w14:paraId="23AF678E" w14:textId="2AAB6F0A"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2869C15" w14:textId="331C925D" w:rsidR="00963445" w:rsidRPr="00963445" w:rsidRDefault="00963445" w:rsidP="00AA3CAB">
            <w:pPr>
              <w:spacing w:after="0" w:line="240" w:lineRule="auto"/>
              <w:jc w:val="center"/>
              <w:rPr>
                <w:rFonts w:ascii="Times New Roman" w:eastAsia="Times New Roman" w:hAnsi="Times New Roman" w:cs="Times New Roman"/>
                <w:lang w:val="fr-FR"/>
              </w:rPr>
            </w:pPr>
            <w:r w:rsidRPr="000F1664">
              <w:rPr>
                <w:rFonts w:ascii="Times New Roman" w:eastAsia="Times New Roman" w:hAnsi="Times New Roman" w:cs="Times New Roman"/>
                <w:lang w:val="en-US"/>
              </w:rPr>
              <w:t>G/SPS/N/EU/579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11E8089" w14:textId="15D46874"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A35D65F" w14:textId="7B026DF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E6DC2BF" w14:textId="7A5948B7"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15/7/2022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3D4D0C2" w14:textId="2CAF5D6C"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 xml:space="preserve">Quy định thực thi của Ủy ban (EU) 2022/1219 ngày 14 tháng 7 năm 2022 sửa đổi Phụ lục III thành Quy định thực thi (EU) </w:t>
            </w:r>
            <w:r w:rsidRPr="000F1664">
              <w:rPr>
                <w:rFonts w:ascii="Times New Roman" w:eastAsia="Times New Roman" w:hAnsi="Times New Roman" w:cs="Times New Roman"/>
                <w:sz w:val="24"/>
                <w:szCs w:val="24"/>
                <w:lang w:val="en-US"/>
              </w:rPr>
              <w:lastRenderedPageBreak/>
              <w:t>2020/2235 liên quan đến mẫu chứng nhận cho việc nhập cảnh và quá cảnh qua Liên minh châu Âu các lô hàng của một số sản phẩm hỗn hợp</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659853B" w14:textId="30F53AFC" w:rsidR="00963445" w:rsidRPr="00963445" w:rsidRDefault="00963445" w:rsidP="008C4A9B">
            <w:pPr>
              <w:spacing w:after="0" w:line="240" w:lineRule="auto"/>
              <w:jc w:val="both"/>
              <w:rPr>
                <w:rFonts w:ascii="Times New Roman" w:eastAsia="Times New Roman" w:hAnsi="Times New Roman" w:cs="Times New Roman"/>
                <w:sz w:val="24"/>
                <w:szCs w:val="24"/>
              </w:rPr>
            </w:pPr>
            <w:r w:rsidRPr="000F1664">
              <w:rPr>
                <w:rFonts w:ascii="Times New Roman" w:hAnsi="Times New Roman" w:cs="Times New Roman"/>
                <w:sz w:val="24"/>
                <w:szCs w:val="24"/>
              </w:rPr>
              <w:lastRenderedPageBreak/>
              <w:t xml:space="preserve">Quy định thông báo các biện pháp xử lý cần thiết để nhập cảnh và vận chuyển qua Liên minh các sản phẩm sữa có trong một số sản phẩm hỗn hợp và làm rõ một số yêu cầu khác đối với việc nhập cảnh và vận chuyển </w:t>
            </w:r>
            <w:r w:rsidRPr="000F1664">
              <w:rPr>
                <w:rFonts w:ascii="Times New Roman" w:hAnsi="Times New Roman" w:cs="Times New Roman"/>
                <w:sz w:val="24"/>
                <w:szCs w:val="24"/>
              </w:rPr>
              <w:lastRenderedPageBreak/>
              <w:t>thông qua Liên minh châu Âu các sản phẩm đó trong các mẫu chứng chỉ liên quan</w:t>
            </w:r>
          </w:p>
        </w:tc>
      </w:tr>
      <w:tr w:rsidR="00963445" w:rsidRPr="000F1664" w14:paraId="7967DA5A" w14:textId="77777777" w:rsidTr="00B8192E">
        <w:trPr>
          <w:trHeight w:val="648"/>
        </w:trPr>
        <w:tc>
          <w:tcPr>
            <w:tcW w:w="636" w:type="dxa"/>
            <w:shd w:val="clear" w:color="auto" w:fill="FFFFFF"/>
            <w:vAlign w:val="center"/>
          </w:tcPr>
          <w:p w14:paraId="606ECE55" w14:textId="0DCF8DFB"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hAnsi="Times New Roman" w:cs="Times New Roman"/>
                <w:sz w:val="24"/>
                <w:szCs w:val="24"/>
              </w:rPr>
              <w:lastRenderedPageBreak/>
              <w:t>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B0EEE34" w14:textId="418B21C0" w:rsidR="00963445" w:rsidRPr="00963445"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G/SPS/N/AUS/542</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6D50D3E" w14:textId="72DDC561" w:rsidR="00963445" w:rsidRPr="000F1664" w:rsidRDefault="00963445" w:rsidP="00AA3CAB">
            <w:pPr>
              <w:spacing w:after="0" w:line="240" w:lineRule="auto"/>
              <w:jc w:val="center"/>
              <w:rPr>
                <w:rFonts w:ascii="Times New Roman" w:eastAsia="Times New Roman" w:hAnsi="Times New Roman" w:cs="Times New Roman"/>
                <w:highlight w:val="yellow"/>
                <w:lang w:val="fr-FR"/>
              </w:rPr>
            </w:pPr>
            <w:r w:rsidRPr="000F1664">
              <w:rPr>
                <w:rFonts w:ascii="Times New Roman" w:eastAsia="Times New Roman" w:hAnsi="Times New Roman" w:cs="Times New Roman"/>
                <w:lang w:val="en-US"/>
              </w:rPr>
              <w:t>ATTP, BVTV,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669E0E2" w14:textId="6E30A7CD"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Úc</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6E52461" w14:textId="7CF3F6E7"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15/7/2022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FB174D5" w14:textId="4EBFA5CC"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Đề xuất sửa đổi Phụ lục 20 của Bộ luật tiêu chuẩn thực phẩm Úc New Zealand (ngày 12 tháng 7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BA09FBA" w14:textId="77777777" w:rsidR="00963445" w:rsidRPr="000F1664" w:rsidRDefault="00963445" w:rsidP="008C4A9B">
            <w:pPr>
              <w:pStyle w:val="NormalWeb"/>
              <w:spacing w:before="0" w:beforeAutospacing="0" w:after="0" w:afterAutospacing="0"/>
              <w:jc w:val="both"/>
            </w:pPr>
            <w:r w:rsidRPr="000F1664">
              <w:t>Đề xuất sửa đổi Bộ luật Tiêu chuẩn thực phẩm Úc New Zealand để điều chỉnh các giới hạn dư lượng tối đa (MRLs) sau đây đối với các hóa chất nông nghiệp và thú y khác nhau để chúng phù hợp với các quy định quốc gia khác liên quan đến việc sử dụng an toàn và hiệu quả các hóa chất nông nghiệp và thú y:</w:t>
            </w:r>
          </w:p>
          <w:p w14:paraId="65DD6490" w14:textId="3C1C92AA" w:rsidR="00963445" w:rsidRPr="000F1664" w:rsidRDefault="00963445" w:rsidP="008C4A9B">
            <w:pPr>
              <w:spacing w:after="0" w:line="240" w:lineRule="auto"/>
              <w:jc w:val="both"/>
              <w:rPr>
                <w:rFonts w:ascii="Times New Roman" w:eastAsia="Times New Roman" w:hAnsi="Times New Roman" w:cs="Times New Roman"/>
                <w:sz w:val="24"/>
                <w:szCs w:val="24"/>
              </w:rPr>
            </w:pPr>
            <w:r w:rsidRPr="000F1664">
              <w:rPr>
                <w:rFonts w:ascii="Times New Roman" w:hAnsi="Times New Roman" w:cs="Times New Roman"/>
                <w:sz w:val="24"/>
                <w:szCs w:val="24"/>
              </w:rPr>
              <w:t>Bupirimate, captan, emamectin, fluopyram, myclobutanil, tebuconazole và tetraniliprole trong một số loại cây trồng.</w:t>
            </w:r>
          </w:p>
        </w:tc>
      </w:tr>
      <w:tr w:rsidR="00963445" w:rsidRPr="000F1664" w14:paraId="4ECE4E7B" w14:textId="77777777" w:rsidTr="00A84B38">
        <w:trPr>
          <w:trHeight w:val="411"/>
        </w:trPr>
        <w:tc>
          <w:tcPr>
            <w:tcW w:w="636" w:type="dxa"/>
            <w:shd w:val="clear" w:color="auto" w:fill="FFFFFF"/>
            <w:vAlign w:val="center"/>
          </w:tcPr>
          <w:p w14:paraId="7B2BCE34" w14:textId="6E868443" w:rsidR="00963445" w:rsidRPr="000F1664" w:rsidRDefault="00963445" w:rsidP="00AA3CAB">
            <w:pPr>
              <w:spacing w:after="0" w:line="240" w:lineRule="auto"/>
              <w:jc w:val="center"/>
              <w:rPr>
                <w:rFonts w:ascii="Times New Roman" w:eastAsia="Times New Roman" w:hAnsi="Times New Roman" w:cs="Times New Roman"/>
                <w:sz w:val="24"/>
                <w:szCs w:val="24"/>
                <w:highlight w:val="yellow"/>
              </w:rPr>
            </w:pPr>
            <w:r w:rsidRPr="000F1664">
              <w:rPr>
                <w:rFonts w:ascii="Times New Roman" w:hAnsi="Times New Roman" w:cs="Times New Roman"/>
                <w:sz w:val="24"/>
                <w:szCs w:val="24"/>
                <w:lang w:val="vi-VN"/>
              </w:rPr>
              <w:t>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0309A12" w14:textId="5F1399D7"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G/SPS/N/USA/3339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3936342" w14:textId="73DDFC02"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8538FBA" w14:textId="49506C73"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Hoa Kỳ</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8BDA79D" w14:textId="6E7B9E4D"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14/7/2022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ED41218" w14:textId="7CF51718"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Quỹ Bảo vệ môi trường, Maricel Maffini; Linda Birnbaum, Đối tác phòng chống Ung thư vú, Hành động vì nước sạch/Quỹ nước sạch, Báo cáo Người tiêu dùng, Hiệp hội Nội tiết, Nhóm Công tác vì môi trường, Tương lai tươi sáng về sức khỏe trẻ em; và Trường Môi trường Nicholas tại Đại học Duke nộp đơn kiến nghị phụ gia thực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5A2BA36" w14:textId="1BC1B29F" w:rsidR="00963445" w:rsidRPr="000F1664" w:rsidRDefault="00963445" w:rsidP="008C4A9B">
            <w:pPr>
              <w:spacing w:after="0" w:line="240" w:lineRule="auto"/>
              <w:jc w:val="both"/>
              <w:rPr>
                <w:rFonts w:ascii="Times New Roman" w:eastAsia="Times New Roman" w:hAnsi="Times New Roman" w:cs="Times New Roman"/>
                <w:sz w:val="24"/>
                <w:szCs w:val="24"/>
              </w:rPr>
            </w:pPr>
            <w:r w:rsidRPr="000F1664">
              <w:rPr>
                <w:rFonts w:ascii="Times New Roman" w:hAnsi="Times New Roman" w:cs="Times New Roman"/>
                <w:sz w:val="24"/>
                <w:szCs w:val="24"/>
              </w:rPr>
              <w:t>Cục Quản lý Thực phẩm và Dược phẩm (FDA) thông báo rằng đã nộp đơn kiến nghị do của Quỹ Bảo vệ môi trường, Maricel Maffini, Đối tác phòng chống Ung thư vú, Linda Birnbaum, Hành động vì nước sạch/Quỹ nước sạch, Báo cáo Người tiêu dùng, Hiệp hội Nội tiết, Nhóm Công tác vì môi trường, Tương lai tươi sáng về sức khỏe trẻ em; và Trường Môi trường Nicholas tại Đại học Duke đề xuất rằng các quy định về phụ gia thực phẩm được sửa đổi để loại bỏ hoặc hạn chế việc sử dụng bisphenol A (BPA).</w:t>
            </w:r>
          </w:p>
        </w:tc>
      </w:tr>
      <w:tr w:rsidR="00963445" w:rsidRPr="000F1664" w14:paraId="5B5A5A44"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762FA38" w14:textId="398CF361"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AAA8D98" w14:textId="00B236FF"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G/SPS/N/AUS/541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C06D411" w14:textId="70A3EE66"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 QLCL, CT. CN</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D024D77" w14:textId="2EED0C2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Úc</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C62BE66" w14:textId="28F03946"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14/7/2022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32F25BF" w14:textId="6C45063B"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Thay đổi tên cho Bộ Nông nghiệp, Ngư nghiệp và Lâm nghiệp của Chính phủ Úc.</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0873C95" w14:textId="77777777" w:rsidR="00963445" w:rsidRPr="000F1664" w:rsidRDefault="00963445" w:rsidP="008C4A9B">
            <w:pPr>
              <w:pStyle w:val="NormalWeb"/>
              <w:spacing w:before="0" w:beforeAutospacing="0" w:after="0" w:afterAutospacing="0"/>
              <w:jc w:val="both"/>
            </w:pPr>
            <w:r w:rsidRPr="000F1664">
              <w:t>Các đối tác thương mại được khuyến cáo rằng sau kết quả của Cuộc bầu cử Liên bang Úc năm 2022, đã có một số thay đổi đối với cấu trúc và tên của các cơ quan của Chính phủ Úc.</w:t>
            </w:r>
          </w:p>
          <w:p w14:paraId="7F2BF133" w14:textId="77777777" w:rsidR="00963445" w:rsidRPr="000F1664" w:rsidRDefault="00963445" w:rsidP="008C4A9B">
            <w:pPr>
              <w:pStyle w:val="NormalWeb"/>
              <w:spacing w:before="0" w:beforeAutospacing="0" w:after="0" w:afterAutospacing="0"/>
              <w:jc w:val="both"/>
            </w:pPr>
            <w:r w:rsidRPr="000F1664">
              <w:t xml:space="preserve">Từ ngày 01 tháng 7 năm 2022, Bộ Nông nghiệp, Nước và Môi trường (DAWE) cũ đã được đổi tên thành Bộ </w:t>
            </w:r>
            <w:r w:rsidRPr="000F1664">
              <w:lastRenderedPageBreak/>
              <w:t>Nông nghiệp, Thủy sản và Lâm nghiệp (DAFF). Thay đổi duy nhất là tên của bộ và DAFF - Cơ quan thuộc thẩm quyền của Chính phủ Úc chịu trách nhiệm về việc kiểm tra và chứng nhận, nếu có, đối với các hoạt động xuất khẩu và nhập khẩu nông nghiệp, làm vườn, thủy sản, thực phẩm và lâm sản của Úc.</w:t>
            </w:r>
          </w:p>
          <w:p w14:paraId="53D11FE5" w14:textId="77777777" w:rsidR="00963445" w:rsidRPr="000F1664" w:rsidRDefault="00963445" w:rsidP="008C4A9B">
            <w:pPr>
              <w:pStyle w:val="NormalWeb"/>
              <w:spacing w:before="0" w:beforeAutospacing="0" w:after="0" w:afterAutospacing="0"/>
              <w:jc w:val="both"/>
            </w:pPr>
            <w:r w:rsidRPr="000F1664">
              <w:t>Thông báo này bổ sung cho G/SPS/N/AUS/540 về những thay đổi đối với chứng nhận xuất khẩu sản phẩm làm vườn và ngũ cốc.</w:t>
            </w:r>
          </w:p>
          <w:p w14:paraId="52C7F04B" w14:textId="18C18376" w:rsidR="00963445" w:rsidRPr="000F1664" w:rsidRDefault="00963445" w:rsidP="008C4A9B">
            <w:pPr>
              <w:pStyle w:val="NormalWeb"/>
              <w:spacing w:before="0" w:beforeAutospacing="0" w:after="0" w:afterAutospacing="0"/>
              <w:jc w:val="both"/>
            </w:pPr>
            <w:r w:rsidRPr="000F1664">
              <w:t>Theo thông tin trong thông báo nói trên, các chứng nhận cập nhật sẽ được phát hành trong tháng 7 năm 2022. Sẽ có một giai đoạn chuyển tiếp ngắn để các chứng nhận cũ và mới có thể được xuất trình cho các cơ quan biên giới để thông quan hàng hóa.</w:t>
            </w:r>
          </w:p>
        </w:tc>
      </w:tr>
      <w:tr w:rsidR="00963445" w:rsidRPr="000F1664" w14:paraId="4B57D58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FEE39BC" w14:textId="6F619F96"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lastRenderedPageBreak/>
              <w:t>11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445C78F" w14:textId="069225E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G/SPS/N/TPKM/590</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4057F27" w14:textId="1634F6C4"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1EC02F1" w14:textId="4B73F33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Đài 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6399020" w14:textId="251871A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13/7/2022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95AD46D" w14:textId="778873DF"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sửa đổi Điều 14, Điều 9 (Phụ lục 7-1), Điều 10 (Phụ lục 8-3, 8-4 và 9) và Điều 18 (Phụ lục 16-1) của "Quy định nhập khẩu các đối tượng thuộc diện kiểm dịch động vật "</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1D1E5D4" w14:textId="77777777" w:rsidR="00963445" w:rsidRPr="000F1664" w:rsidRDefault="00963445" w:rsidP="008C4A9B">
            <w:pPr>
              <w:pStyle w:val="NormalWeb"/>
              <w:spacing w:before="0" w:beforeAutospacing="0" w:after="0" w:afterAutospacing="0"/>
              <w:jc w:val="both"/>
            </w:pPr>
            <w:r w:rsidRPr="000F1664">
              <w:t>1. Bỏ giới hạn thời gian (trong vòng ba ngày trước khi xuất khẩu) kiểm tra ký sinh trùng bên ngoài của thỏ;</w:t>
            </w:r>
          </w:p>
          <w:p w14:paraId="2C6ADCF8" w14:textId="77777777" w:rsidR="00963445" w:rsidRPr="000F1664" w:rsidRDefault="00963445" w:rsidP="008C4A9B">
            <w:pPr>
              <w:pStyle w:val="NormalWeb"/>
              <w:spacing w:before="0" w:beforeAutospacing="0" w:after="0" w:afterAutospacing="0"/>
              <w:jc w:val="both"/>
            </w:pPr>
            <w:r w:rsidRPr="000F1664">
              <w:t>2. Sẽ không yêu cầu kiểm dịch sau nhập cảnh đối với cá, động vật giáp xác và động vật thân mềm tuân thủ các yêu cầu kiểm dịch liên quan;</w:t>
            </w:r>
          </w:p>
          <w:p w14:paraId="54F4B886" w14:textId="1AABDF9A" w:rsidR="00963445" w:rsidRPr="000F1664" w:rsidRDefault="00963445" w:rsidP="008C4A9B">
            <w:pPr>
              <w:pStyle w:val="NormalWeb"/>
              <w:spacing w:before="0" w:beforeAutospacing="0" w:after="0" w:afterAutospacing="0"/>
              <w:jc w:val="both"/>
            </w:pPr>
            <w:r w:rsidRPr="000F1664">
              <w:t>3. Không cần thực hiện một số xét nghiệm mầm bệnh đối với huyết thanh trâu bò khi bệnh tật do mầm bệnh chưa xảy ra tại nước xuất xứ của gia súc ít nhất trong 5 năm trước đó.</w:t>
            </w:r>
          </w:p>
        </w:tc>
      </w:tr>
      <w:tr w:rsidR="00963445" w:rsidRPr="000F1664" w14:paraId="522599F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A1F5254" w14:textId="0F34250C"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12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3A69421" w14:textId="682DCA84" w:rsidR="00963445" w:rsidRPr="00963445" w:rsidRDefault="00963445" w:rsidP="00AA3CAB">
            <w:pPr>
              <w:spacing w:after="0" w:line="240" w:lineRule="auto"/>
              <w:jc w:val="center"/>
              <w:rPr>
                <w:rFonts w:ascii="Times New Roman" w:eastAsia="Times New Roman" w:hAnsi="Times New Roman" w:cs="Times New Roman"/>
                <w:lang w:val="fr-FR"/>
              </w:rPr>
            </w:pPr>
            <w:r w:rsidRPr="000F1664">
              <w:rPr>
                <w:rFonts w:ascii="Times New Roman" w:eastAsia="Times New Roman" w:hAnsi="Times New Roman" w:cs="Times New Roman"/>
                <w:lang w:val="en-US"/>
              </w:rPr>
              <w:t>G/SPS/N/USA/3338</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88D566F" w14:textId="22DDFC6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139ACC0" w14:textId="08438E5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Hoa Kỳ</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CA52615" w14:textId="3BECB66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12/7/2022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6B2AF6C" w14:textId="64CA9DC3"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Dung sai thuốc trừ sâu pyriofenone. Quy tắc cuối cùng.</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0009A21" w14:textId="1461A7A8" w:rsidR="00963445" w:rsidRPr="000F1664" w:rsidRDefault="00963445" w:rsidP="008C4A9B">
            <w:pPr>
              <w:pStyle w:val="NormalWeb"/>
              <w:spacing w:before="0" w:beforeAutospacing="0" w:after="0" w:afterAutospacing="0"/>
              <w:jc w:val="both"/>
            </w:pPr>
            <w:r w:rsidRPr="000F1664">
              <w:t>Quy định này thiết lập mức giới hạn dư lượng pyriofenone trong hoặc trên phân nhóm cà chua 8-10A và phân nhóm tiêu/cà tím 8-10B và loại bỏ mức giới hạn đã thiết lập đối với rau, quả, nhóm 8-10 và mức giới hạn đã hết hạn đối với quả nhỏ cây nho leo phân nhóm 13-07D.</w:t>
            </w:r>
          </w:p>
        </w:tc>
      </w:tr>
      <w:tr w:rsidR="00963445" w:rsidRPr="000F1664" w14:paraId="50BBB037"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525DFC4" w14:textId="5E7DF208"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13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78F5DA3" w14:textId="497B878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G/SPS/N/EU/578</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207FAB4" w14:textId="5683377F"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 xml:space="preserve">ATTP, BVTV, </w:t>
            </w:r>
            <w:r w:rsidRPr="000F1664">
              <w:rPr>
                <w:rFonts w:ascii="Times New Roman" w:eastAsia="Times New Roman" w:hAnsi="Times New Roman" w:cs="Times New Roman"/>
                <w:lang w:val="en-US"/>
              </w:rPr>
              <w:lastRenderedPageBreak/>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7297F9E" w14:textId="088BC07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lastRenderedPageBreak/>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E119B06" w14:textId="0ADB82E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12/7/2022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4753217" w14:textId="1ED77DF0"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 xml:space="preserve">Dự thảo Quy định của Ủy ban sửa đổi Phụ lục II của Quy định (EC) </w:t>
            </w:r>
            <w:r w:rsidRPr="000F1664">
              <w:rPr>
                <w:rFonts w:ascii="Times New Roman" w:eastAsia="Times New Roman" w:hAnsi="Times New Roman" w:cs="Times New Roman"/>
                <w:sz w:val="24"/>
                <w:szCs w:val="24"/>
                <w:lang w:val="en-US"/>
              </w:rPr>
              <w:lastRenderedPageBreak/>
              <w:t>số 396/2005 của Nghị viện Châu Âu và Hội đồng liên quan đến mức dư lượng tối đa đối với abamectin trong hoặc trên một số sản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9669DAC" w14:textId="491F54AF" w:rsidR="00963445" w:rsidRPr="000F1664" w:rsidRDefault="00963445" w:rsidP="008C4A9B">
            <w:pPr>
              <w:pStyle w:val="NormalWeb"/>
              <w:spacing w:before="0" w:beforeAutospacing="0" w:after="0" w:afterAutospacing="0"/>
              <w:jc w:val="both"/>
            </w:pPr>
            <w:r w:rsidRPr="000F1664">
              <w:lastRenderedPageBreak/>
              <w:t xml:space="preserve">Dự thảo quy định được đề xuất liên quan đến việc xem xét các MRL hiện có đối với abamectin. MRL đối với </w:t>
            </w:r>
            <w:r w:rsidRPr="000F1664">
              <w:lastRenderedPageBreak/>
              <w:t>các chất này trong một số mặt hàng nhất định được thay đổi: tăng hoặc giảm. MRLs thấp hơn được đặt sau khi cập nhật các giới hạn xác định và/hoặc xóa bỏ các mục đích sử dụng cũ không được cho phép nữa ở Liên minh Châu Âu.</w:t>
            </w:r>
          </w:p>
        </w:tc>
      </w:tr>
      <w:tr w:rsidR="00963445" w:rsidRPr="000F1664" w14:paraId="2917C5F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B8E4DF6" w14:textId="20BB1159"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14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B641AED" w14:textId="7D5B7C8E" w:rsidR="00963445" w:rsidRPr="00963445" w:rsidRDefault="00963445" w:rsidP="00AA3CAB">
            <w:pPr>
              <w:spacing w:after="0" w:line="240" w:lineRule="auto"/>
              <w:jc w:val="center"/>
              <w:rPr>
                <w:rFonts w:ascii="Times New Roman" w:eastAsia="Times New Roman" w:hAnsi="Times New Roman" w:cs="Times New Roman"/>
                <w:lang w:val="fr-FR"/>
              </w:rPr>
            </w:pPr>
            <w:r w:rsidRPr="000F1664">
              <w:rPr>
                <w:rFonts w:ascii="Times New Roman" w:eastAsia="Times New Roman" w:hAnsi="Times New Roman" w:cs="Times New Roman"/>
                <w:lang w:val="en-US"/>
              </w:rPr>
              <w:t>G/SPS/N/BRA/2052</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A69D3FB" w14:textId="05C61DF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8F634E1" w14:textId="32F2068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Brazil</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8575669" w14:textId="31286B66"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12/7/2022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99AB63D" w14:textId="6414F80C"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Nghị quyết số 1101, ngày 30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72BDF06" w14:textId="340C7707" w:rsidR="00963445" w:rsidRPr="000F1664" w:rsidRDefault="00963445" w:rsidP="008C4A9B">
            <w:pPr>
              <w:pStyle w:val="NormalWeb"/>
              <w:spacing w:before="0" w:beforeAutospacing="0" w:after="0" w:afterAutospacing="0"/>
              <w:jc w:val="both"/>
            </w:pPr>
            <w:r w:rsidRPr="000F1664">
              <w:t>Dự thảo nghị quyết này được coi là đề xuất đưa thành phần hoạt chất A66: Axit indoleacetic vào danh sách chuyên khảo các thành phần hoạt tính cho thuốc trừ sâu, sản phẩm làm sạch gia dụng và chất bảo quản gỗ, được công bố bởi Chỉ thị quy phạm số 103 - ngày 19 tháng 10 năm 2021 trên Công báo Brazil</w:t>
            </w:r>
          </w:p>
        </w:tc>
      </w:tr>
      <w:tr w:rsidR="00963445" w:rsidRPr="000F1664" w14:paraId="7471155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CCB8D84" w14:textId="43954126" w:rsidR="00963445" w:rsidRPr="000F1664" w:rsidRDefault="00963445" w:rsidP="00AA3CAB">
            <w:pPr>
              <w:spacing w:after="0" w:line="240" w:lineRule="auto"/>
              <w:jc w:val="center"/>
              <w:rPr>
                <w:rFonts w:ascii="Times New Roman" w:eastAsia="Times New Roman" w:hAnsi="Times New Roman" w:cs="Times New Roman"/>
                <w:sz w:val="24"/>
                <w:szCs w:val="24"/>
                <w:highlight w:val="yellow"/>
              </w:rPr>
            </w:pPr>
            <w:r w:rsidRPr="000F1664">
              <w:rPr>
                <w:rFonts w:ascii="Times New Roman" w:hAnsi="Times New Roman" w:cs="Times New Roman"/>
                <w:sz w:val="24"/>
                <w:szCs w:val="24"/>
                <w:lang w:val="vi-VN"/>
              </w:rPr>
              <w:t>15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0118373" w14:textId="582A52B5" w:rsidR="00963445" w:rsidRPr="000F1664" w:rsidRDefault="00963445" w:rsidP="00AA3CAB">
            <w:pPr>
              <w:spacing w:after="0" w:line="240" w:lineRule="auto"/>
              <w:jc w:val="center"/>
              <w:rPr>
                <w:rFonts w:ascii="Times New Roman" w:eastAsia="Times New Roman" w:hAnsi="Times New Roman" w:cs="Times New Roman"/>
                <w:highlight w:val="yellow"/>
                <w:lang w:val="fr-FR"/>
              </w:rPr>
            </w:pPr>
            <w:r w:rsidRPr="000F1664">
              <w:rPr>
                <w:rFonts w:ascii="Times New Roman" w:eastAsia="Times New Roman" w:hAnsi="Times New Roman" w:cs="Times New Roman"/>
                <w:lang w:val="en-US"/>
              </w:rPr>
              <w:t>G/SPS/N/BRA/2051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AEC7E8A" w14:textId="0D29F27B"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ATTP, 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DBF2A9B" w14:textId="70D08983"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Brazil</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9D2582C" w14:textId="0ABE6EAC"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12/7/2022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58D5DFC" w14:textId="4918084E"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Dự thảo Nghị quyết số 1100, ngày 30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C4A9634" w14:textId="2F03F3C2" w:rsidR="00963445" w:rsidRPr="000F1664" w:rsidRDefault="00963445" w:rsidP="008C4A9B">
            <w:pPr>
              <w:pStyle w:val="NormalWeb"/>
              <w:spacing w:before="0" w:beforeAutospacing="0" w:after="0" w:afterAutospacing="0"/>
              <w:jc w:val="both"/>
              <w:rPr>
                <w:highlight w:val="yellow"/>
              </w:rPr>
            </w:pPr>
            <w:r w:rsidRPr="000F1664">
              <w:t>Dự thảo nghị quyết này đề xuất đưa thành phần hoạt chất M53: METAMIPHOP vào danh sách chuyên khảo các thành phần hoạt tính cho thuốc trừ sâu, sản phẩm làm sạch gia dụng và chất bảo quản gỗ, được công bố bởi Chỉ thị quy phạm số 103 - ngày 19 tháng 10 năm 2021 trên Công báo Brazil</w:t>
            </w:r>
          </w:p>
        </w:tc>
      </w:tr>
      <w:tr w:rsidR="00963445" w:rsidRPr="000F1664" w14:paraId="6DE0156A"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C1428C8" w14:textId="4FF12306"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16</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14BA8C2" w14:textId="1C5F2057"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G/SPS/N/JPN/1062</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E95D658" w14:textId="2A2EB91E"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54CCCD5" w14:textId="2491627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Nhật Bản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E5AB935" w14:textId="14A4BE1A"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11/7/2022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97FF814" w14:textId="7E49D6B2"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Chỉ định L-Isoleucine làm phụ gia thức ăn chăn nuôi.</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1729442" w14:textId="77777777" w:rsidR="00963445" w:rsidRPr="000F1664" w:rsidRDefault="00963445" w:rsidP="008C4A9B">
            <w:pPr>
              <w:pStyle w:val="NormalWeb"/>
              <w:spacing w:before="0" w:beforeAutospacing="0" w:after="0" w:afterAutospacing="0"/>
              <w:jc w:val="both"/>
            </w:pPr>
            <w:r w:rsidRPr="000F1664">
              <w:t>MAFF sẽ chỉ định L-Isoleucine làm phụ gia thức ăn chăn nuôi và thiết lập các tiêu chuẩn và thông số kỹ thuật của nó theo sắc lệnh của Bộ trong "Thông báo của Bộ trưởng về việc chỉ định phụ gia thức ăn chăn nuôi (Thông báo số 750 của Bộ Nông nghiệp, Lâm nghiệp và Thủy sản Ngày 24 tháng 7 năm 1976) "và" Sắc lệnh của Bộ trưởng về quy cách và tiêu chuẩn của thức ăn và phụ gia thức ăn chăn nuôi "(Sắc lệnh số 35 ngày 24 tháng 7 năm 1976 của Bộ Nông nghiệp và Lâm nghiệp).</w:t>
            </w:r>
          </w:p>
          <w:p w14:paraId="13AE77A1" w14:textId="77777777" w:rsidR="00963445" w:rsidRPr="000F1664" w:rsidRDefault="00963445" w:rsidP="008C4A9B">
            <w:pPr>
              <w:pStyle w:val="NormalWeb"/>
              <w:spacing w:before="0" w:beforeAutospacing="0" w:after="0" w:afterAutospacing="0"/>
              <w:jc w:val="both"/>
            </w:pPr>
            <w:r w:rsidRPr="000F1664">
              <w:t>(Đề xuất sửa đổi)</w:t>
            </w:r>
          </w:p>
          <w:p w14:paraId="7D5CD83A" w14:textId="27301230" w:rsidR="00963445" w:rsidRPr="000F1664" w:rsidRDefault="00963445" w:rsidP="008C4A9B">
            <w:pPr>
              <w:pStyle w:val="NormalWeb"/>
              <w:spacing w:before="0" w:beforeAutospacing="0" w:after="0" w:afterAutospacing="0"/>
              <w:jc w:val="both"/>
            </w:pPr>
            <w:r w:rsidRPr="000F1664">
              <w:t>L-Isoleucine được phép sử dụng làm phụ gia thức ăn chăn nuôi.</w:t>
            </w:r>
          </w:p>
        </w:tc>
      </w:tr>
      <w:tr w:rsidR="00963445" w:rsidRPr="000F1664" w14:paraId="6E65ECBD"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B777D53" w14:textId="70D97D4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17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8A27686" w14:textId="18B9711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G/SPS/N/IND/286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BA9C5A1" w14:textId="13FA1438"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B0F67E3" w14:textId="527C750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Ấn Độ</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911445B" w14:textId="545E2F1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11/7/2022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6784F8C" w14:textId="16D5D669"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 xml:space="preserve">Dự thảo Quy định về tiêu chuẩn và sn toàn thực phẩm (Thực phẩm </w:t>
            </w:r>
            <w:r w:rsidRPr="000F1664">
              <w:rPr>
                <w:rFonts w:ascii="Times New Roman" w:eastAsia="Times New Roman" w:hAnsi="Times New Roman" w:cs="Times New Roman"/>
                <w:sz w:val="24"/>
                <w:szCs w:val="24"/>
                <w:lang w:val="en-US"/>
              </w:rPr>
              <w:lastRenderedPageBreak/>
              <w:t>bổ sung cho sức khỏe, nutraceuticals, thực phẩm cho chế độ ăn uống đặc biệt, thực phẩm cho mục đích y tế đặc biệt và thực phẩm Prebiotic và Probiotic)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0906454" w14:textId="28314C42" w:rsidR="00963445" w:rsidRPr="000F1664" w:rsidRDefault="00963445" w:rsidP="008C4A9B">
            <w:pPr>
              <w:pStyle w:val="NormalWeb"/>
              <w:spacing w:before="0" w:beforeAutospacing="0" w:after="0" w:afterAutospacing="0"/>
              <w:jc w:val="both"/>
            </w:pPr>
            <w:r w:rsidRPr="000F1664">
              <w:lastRenderedPageBreak/>
              <w:t xml:space="preserve">Dự thảo Quy định về tiêu chuẩn và an toàn thực phẩm (Thực phẩm bổ sung cho sức khỏe, Nutraceuticals, thực </w:t>
            </w:r>
            <w:r w:rsidRPr="000F1664">
              <w:lastRenderedPageBreak/>
              <w:t>phẩm cho chế độ ăn uống đặc biệt, thực phẩm cho mục đích y tế đặc biệt và thực phẩm Prebiotic và Probiotic) năm 2022 để thay thế các tiêu chuẩn và an toàn thực phẩm (Thực phẩm bổ sung cho sức khỏe, Nutraceuticals, thực phẩm cho chế độ ăn đặc biệt; quy định về thực phẩm cho mục đích y tế đặc biệt, thực phẩm chức năng và thực phẩm mới), 2016.</w:t>
            </w:r>
          </w:p>
        </w:tc>
      </w:tr>
      <w:tr w:rsidR="00963445" w:rsidRPr="000F1664" w14:paraId="58F236A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F134ECA" w14:textId="62A941A0"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18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738032C" w14:textId="7653E66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G/SPS/N/PER/989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ADE9A36" w14:textId="77795CFA"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8CEBA52" w14:textId="014B7CA8"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Pê-ru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DCEB82D" w14:textId="5B8296E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08/7/2022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E7C6EC3" w14:textId="5221C289"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Nghị quyết thiết lập các yêu cầu KDTV cần thiết tuân thủ khi nhập khẩu vi sinh vật (Nitrobacter winogradskyi, Nitrosomonas europaea, Azotobacter chroococcum và Azospirillium brasilense) có nguồn gốc, xuất xứ từ tất cả các quốc gia</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6B21591" w14:textId="13E9A461" w:rsidR="00963445" w:rsidRPr="000F1664" w:rsidRDefault="00963445" w:rsidP="008C4A9B">
            <w:pPr>
              <w:pStyle w:val="NormalWeb"/>
              <w:spacing w:before="0" w:beforeAutospacing="0" w:after="0" w:afterAutospacing="0"/>
              <w:jc w:val="both"/>
            </w:pPr>
            <w:r w:rsidRPr="000F1664">
              <w:t>Đề xuất các yêu cầu KDTV khi nhập khẩu vi sinh vật (Nitrobacter winogradskyi, Nitrosomonas europaea, Azotobacter chroococcum và Azospirillium brasilense) có nguồn gốc, xuất xứ từ tất cả các quốc gia; đề xuất các yêu cầu KDTV với hàng nhập khẩu đã được đệ trình tham vấn toàn dân.</w:t>
            </w:r>
          </w:p>
        </w:tc>
      </w:tr>
      <w:tr w:rsidR="00963445" w:rsidRPr="000F1664" w14:paraId="3389BF49"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B1D462E" w14:textId="12476FC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19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F26F8AF" w14:textId="760BE9C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G/SPS/N/BRA/2050</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51F39DF" w14:textId="7EF2194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9FC1A38" w14:textId="6D224DB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Bờ-ra-xin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786BA12" w14:textId="4AB47A5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08/7/2022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69D3BAD" w14:textId="606EEABE"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Nghị quyết số 1098 ngày 23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9072E58" w14:textId="4E0BB33D" w:rsidR="00963445" w:rsidRPr="000F1664" w:rsidRDefault="00963445" w:rsidP="008C4A9B">
            <w:pPr>
              <w:pStyle w:val="NormalWeb"/>
              <w:spacing w:before="0" w:beforeAutospacing="0" w:after="0" w:afterAutospacing="0"/>
              <w:jc w:val="both"/>
            </w:pPr>
            <w:r w:rsidRPr="000F1664">
              <w:t xml:space="preserve">Dự thảo nghị quyết đề xuất đưa thành phần hoạt chất S23: </w:t>
            </w:r>
            <w:r w:rsidRPr="000F1664">
              <w:rPr>
                <w:rStyle w:val="Emphasis"/>
                <w:i w:val="0"/>
                <w:iCs w:val="0"/>
              </w:rPr>
              <w:t xml:space="preserve">Steinernema carpocapsae </w:t>
            </w:r>
            <w:r w:rsidRPr="000F1664">
              <w:t>vào danh sách chuyên khảo về các thành phần hoạt tính của thuốc trừ sâu, sản phẩm làm sạch gia dụng và chất bảo quản gỗ, ban hành theo Chỉ thị quy phạm số 103 - ngày 19 tháng 10 năm 2021 trên Công báo Bờ-ra-xin (DOU - Diário Onking da União).</w:t>
            </w:r>
          </w:p>
        </w:tc>
      </w:tr>
      <w:tr w:rsidR="00963445" w:rsidRPr="000F1664" w14:paraId="57664D6C"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977DC1A" w14:textId="59978778"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hAnsi="Times New Roman" w:cs="Times New Roman"/>
                <w:sz w:val="24"/>
                <w:szCs w:val="24"/>
              </w:rPr>
              <w:t>20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67C1AC7" w14:textId="159B2068"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G/SPS/N/RUS/254</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21C142B" w14:textId="08794E4B"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BVTV,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A3E813A" w14:textId="30BD4C45"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Nga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AF04C1D" w14:textId="1909450A"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07/7/2022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FA4B74C" w14:textId="086DBC0B"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 xml:space="preserve">Dự thảo Quyết định của cộng đồng Ủy ban kinh tế Á-Âu sửa đổi Quy định các yêu cầu chung (vệ sinh và thú y) đối với hàng hóa thuộc diện kiểm soát giám sát và dự thảo quyết định của cộng đồng Ủy ban kinh tế Á-Âu sửa đổi Quyết định của Ủy ban liên </w:t>
            </w:r>
            <w:r w:rsidRPr="000F1664">
              <w:rPr>
                <w:rFonts w:ascii="Times New Roman" w:eastAsia="Times New Roman" w:hAnsi="Times New Roman" w:cs="Times New Roman"/>
                <w:sz w:val="24"/>
                <w:szCs w:val="24"/>
                <w:lang w:val="en-US"/>
              </w:rPr>
              <w:lastRenderedPageBreak/>
              <w:t>minh hải quan số 607 ngày 07 tháng 4 năm 2011</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6EFC506" w14:textId="75E1CBBD" w:rsidR="00963445" w:rsidRPr="000F1664" w:rsidRDefault="00963445" w:rsidP="008C4A9B">
            <w:pPr>
              <w:pStyle w:val="NormalWeb"/>
              <w:spacing w:before="0" w:beforeAutospacing="0" w:after="0" w:afterAutospacing="0"/>
              <w:jc w:val="both"/>
              <w:rPr>
                <w:highlight w:val="yellow"/>
              </w:rPr>
            </w:pPr>
            <w:r w:rsidRPr="000F1664">
              <w:lastRenderedPageBreak/>
              <w:t>Dự thảo thông qua yêu cầu thú y đối với phân bón động vật và phân bón có nguồn gốc động vật nhập khẩu.</w:t>
            </w:r>
          </w:p>
        </w:tc>
      </w:tr>
      <w:tr w:rsidR="00963445" w:rsidRPr="000F1664" w14:paraId="7C6081BA"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DC1192C" w14:textId="2534FB8F"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21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AB504B3" w14:textId="50EEA3C2"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G/SPS/N/EU/577</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D82000C" w14:textId="07AC3C2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F48AEF7" w14:textId="0ED81AC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26D1512" w14:textId="6C991AB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07/7/2022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DCE1720" w14:textId="4C3775E1"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 định ủy quyền của Ủy ban bổ sung Quy định (EU) 2017/625 của Nghị viện và hội đồng châu Âu về yêu cầu đối với các lô hàng động vật làm thức ăn và một số hàng hóa dùng cho người gia nhập Liên minh và Phụ lục.</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1845291" w14:textId="7876E9D3" w:rsidR="00963445" w:rsidRPr="000F1664" w:rsidRDefault="00963445" w:rsidP="008C4A9B">
            <w:pPr>
              <w:pStyle w:val="NormalWeb"/>
              <w:spacing w:before="0" w:beforeAutospacing="0" w:after="0" w:afterAutospacing="0"/>
              <w:jc w:val="both"/>
            </w:pPr>
            <w:r w:rsidRPr="000F1664">
              <w:t>Dự thảo đưa ra quy định với động vật sống, sản phẩm có nguồn gốc động vật, sản phẩm hỗn hợp và hạt giống nảy mầm vào Liên minh từ các nước thứ ba, đảm bảo các sản phẩm tuân thủ yêu cầu liên quan đến sức khỏe cộng đồng do luật Liên minh quy định (hoặc tuân thủ công nhận tương đương). Dự thảo hợp nhất các quy định hiện hành trong Quy định ủy quyền của Ủy ban (EU) 2019/625 và Điều 29 Chỉ thị 96/23/EC của Hội đồng (kế hoạch giám sát dư lượng).</w:t>
            </w:r>
          </w:p>
        </w:tc>
      </w:tr>
      <w:tr w:rsidR="00963445" w:rsidRPr="000F1664" w14:paraId="4345359D"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8F70899" w14:textId="7CA3652D"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22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D5DC2EB" w14:textId="4C424808"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G/SPS/N/TPKM/589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10B7F13" w14:textId="0DCDE316"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QLCL</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116BD3E" w14:textId="68874969" w:rsidR="00963445" w:rsidRPr="000F1664" w:rsidRDefault="00830A8E" w:rsidP="00AA3CA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Đài 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066B5FD" w14:textId="680B61D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06/7/2022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F6062CE" w14:textId="0A78566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yêu cầu đối với sản phẩm thủy sản nguồn gốc động vật nhập khẩu</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FBB6602" w14:textId="1D20839A" w:rsidR="00963445" w:rsidRPr="000F1664" w:rsidRDefault="00963445" w:rsidP="008C4A9B">
            <w:pPr>
              <w:pStyle w:val="NormalWeb"/>
              <w:spacing w:before="0" w:beforeAutospacing="0" w:after="0" w:afterAutospacing="0"/>
              <w:jc w:val="both"/>
            </w:pPr>
            <w:r w:rsidRPr="000F1664">
              <w:t xml:space="preserve">Mỗi lô hàng thủy sản nguồn gốc động phải được sản xuất tại các cơ sở được </w:t>
            </w:r>
            <w:r w:rsidR="00830A8E">
              <w:t>Đài Loan</w:t>
            </w:r>
            <w:r w:rsidRPr="000F1664">
              <w:t xml:space="preserve"> phê duyệt và kèm theo giấy chứng nhận gốc.</w:t>
            </w:r>
          </w:p>
        </w:tc>
      </w:tr>
      <w:tr w:rsidR="00963445" w:rsidRPr="000F1664" w14:paraId="15BAECCF"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92D57C9" w14:textId="236D737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23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D3D7228" w14:textId="2096970F"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G/SPS/N/AUS/540</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95156C0" w14:textId="16D9D0E6"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079E514" w14:textId="6C26C81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Úc</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F562E99" w14:textId="7F5A04F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06/7/2022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84660A5" w14:textId="3F70120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Giấy chứng nhận và hồ sơ xuất khẩu thực vật.</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EF69B91" w14:textId="67D39DBC" w:rsidR="00963445" w:rsidRPr="000F1664" w:rsidRDefault="00963445" w:rsidP="008C4A9B">
            <w:pPr>
              <w:pStyle w:val="NormalWeb"/>
              <w:spacing w:before="0" w:beforeAutospacing="0" w:after="0" w:afterAutospacing="0"/>
              <w:jc w:val="both"/>
            </w:pPr>
            <w:r w:rsidRPr="000F1664">
              <w:t>Văn phòng BVTV Úc (NPPO) đổi tên thành Phòng nông nghiệp, thủy sản và lâm nghiệp. Các đối tác thương mại cần biết về thay đổi tên Văn phòng trên giấy chứng nhận và hồ sơ xuất khẩu thực vật, bao gồm cả giấy chứng nhận KDTV. Chứng nhận sẽ được phát hành trong tháng 7 năm 2022. Sẽ có giai đoạn chuyển tiếp, với chứng nhận cũ - mới được xem xét và phê duyệt.</w:t>
            </w:r>
          </w:p>
        </w:tc>
      </w:tr>
      <w:tr w:rsidR="00963445" w:rsidRPr="000F1664" w14:paraId="707C90E5"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2A4A2A1" w14:textId="38F2BF3F"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hAnsi="Times New Roman" w:cs="Times New Roman"/>
                <w:sz w:val="24"/>
                <w:szCs w:val="24"/>
              </w:rPr>
              <w:t>24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F1B8097" w14:textId="77A6ACF0"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G/SPS/N/CHL/731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D20EDF6" w14:textId="120CC4CD"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CN,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355A653" w14:textId="429587CD"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Chi-lê</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7DA7B38" w14:textId="554947A4"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05/7/2022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3B5EE9B" w14:textId="10022519"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Danh sách các phụ gia được phép sử dụng trong sản xuất TACN, thực phẩm bổ sung, làm thành phần và phụ gia công thức cho động vật; bãi bỏ Nghị quyết miễn trừ số 1.992 năm 2006</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1FF4285" w14:textId="77777777" w:rsidR="00963445" w:rsidRPr="000F1664" w:rsidRDefault="00963445" w:rsidP="008C4A9B">
            <w:pPr>
              <w:pStyle w:val="NormalWeb"/>
              <w:spacing w:before="0" w:beforeAutospacing="0" w:after="0" w:afterAutospacing="0"/>
              <w:jc w:val="both"/>
            </w:pPr>
            <w:r w:rsidRPr="000F1664">
              <w:t>Sửa đổi nghị quyết miễn trừ số 1.992 năm 2006, quy định giới hạn tối đa một số chất trong phụ gia TACN, thực phẩm bổ sung, phụ gia công thức dùng cho người và làm thức ăn cho động vật nuôi (như chó và mèo).</w:t>
            </w:r>
          </w:p>
          <w:p w14:paraId="326BE6A8" w14:textId="58A7BD35" w:rsidR="00963445" w:rsidRPr="000F1664" w:rsidRDefault="00963445" w:rsidP="008C4A9B">
            <w:pPr>
              <w:pStyle w:val="NormalWeb"/>
              <w:spacing w:before="0" w:beforeAutospacing="0" w:after="0" w:afterAutospacing="0"/>
              <w:jc w:val="both"/>
              <w:rPr>
                <w:highlight w:val="yellow"/>
              </w:rPr>
            </w:pPr>
            <w:r w:rsidRPr="000F1664">
              <w:t>Thông tin chi tiết có trong tài liệu đính kèm thông báo.</w:t>
            </w:r>
          </w:p>
        </w:tc>
      </w:tr>
      <w:tr w:rsidR="00963445" w:rsidRPr="000F1664" w14:paraId="7161820C"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E00948A" w14:textId="539F9DC4"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25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5CFA789" w14:textId="0194398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G/SPS/N/CAN/1445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A5B26D6" w14:textId="63F0630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5EDA127" w14:textId="271D301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Ca-na-đa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84C44F7" w14:textId="4E71431A"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05/7/2022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0FE6B82" w14:textId="2141A54B"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Biện pháp cấm nhập khẩu chó thương mại từ các quốc gia có nguy cơ mắc bệnh dại cao (mới)</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28ADD34" w14:textId="77777777" w:rsidR="00963445" w:rsidRPr="000F1664" w:rsidRDefault="00963445" w:rsidP="008C4A9B">
            <w:pPr>
              <w:pStyle w:val="NormalWeb"/>
              <w:spacing w:before="0" w:beforeAutospacing="0" w:after="0" w:afterAutospacing="0"/>
              <w:jc w:val="both"/>
            </w:pPr>
            <w:r w:rsidRPr="000F1664">
              <w:t xml:space="preserve">Cơ quan kiểm tra thực phẩm Ca-na-đa (CFIA) cấm nhập khẩu chó  thương mại từ các quốc gia nhất định (trong đó có Việt Nam) được xác định có nguy cơ cao </w:t>
            </w:r>
            <w:r w:rsidRPr="000F1664">
              <w:lastRenderedPageBreak/>
              <w:t>mắc bệnh dại do vi rút biến thể chó gây ra.</w:t>
            </w:r>
          </w:p>
          <w:p w14:paraId="1454DC0D" w14:textId="77777777" w:rsidR="00963445" w:rsidRPr="000F1664" w:rsidRDefault="00963445" w:rsidP="008C4A9B">
            <w:pPr>
              <w:pStyle w:val="NormalWeb"/>
              <w:spacing w:before="0" w:beforeAutospacing="0" w:after="0" w:afterAutospacing="0"/>
              <w:jc w:val="both"/>
            </w:pPr>
            <w:r w:rsidRPr="000F1664">
              <w:t>Bệnh dại là một bệnh đã được báo báo cáo, Ca-na-đa không có bệnh dại. Để ngăn chặn sự tái phát của bệnh dại, để bảo vệ sức khỏe và sự an toàn của động vật và con người, CFIA sẽ thực hiện các biện pháp hạn chế nhập khẩu chó thương mại từ các quốc gia nguy cơ cao.</w:t>
            </w:r>
          </w:p>
          <w:p w14:paraId="168A8F21" w14:textId="77777777" w:rsidR="00963445" w:rsidRPr="000F1664" w:rsidRDefault="00963445" w:rsidP="008C4A9B">
            <w:pPr>
              <w:pStyle w:val="NormalWeb"/>
              <w:spacing w:before="0" w:beforeAutospacing="0" w:after="0" w:afterAutospacing="0"/>
              <w:jc w:val="both"/>
            </w:pPr>
            <w:r w:rsidRPr="000F1664">
              <w:t>Kể từ ngày 28 tháng 9 năm 2022, tất cả chó thương mại, theo định nghĩa của CFIA, từ các quốc gia có nguy cơ cao sẽ không được phép nhập cảnh vào Ca-na-đa. Từ ngày này, CFIA sẽ không cấp giấy chứng nhận cho chó thương nhập khẩu dưới tám tháng tuổi từ các quốc gia có nguy cơ cao. Tất cả các chuyến hàng chó nhập khẩu (không phân biệt tuổi) đang chuyển tới Ca-na-đa phải được chuyển đến trong (hoặc trước) ngày 27 tháng 9 năm 2022 mới được coi là đủ điều kiện nhập khẩu. Bất kỳ chó thương mại nhập khẩu từ quốc gia có nguy cơ cao vào Ca-na-đatrong (hoặc sau) ngày 28 tháng 9 năm 2022 đều không được phép nhập khẩu vào Ca-na-đa. Không có ngoại lệ đối với biện pháp mới, bất kể tuổi tác, bất kể trước đó hàng hóa cần có giấy phép nhập khẩu. Ca-na-đa đề nghị các đối tác thương mại từ các quốc gia có nguy cơ cao thực hiện các bước cần thiết để đảm bảo chó không được xuất khẩu sang Ca-na-đa.</w:t>
            </w:r>
          </w:p>
          <w:p w14:paraId="7B6F2168" w14:textId="5CA1A580" w:rsidR="00963445" w:rsidRPr="000F1664" w:rsidRDefault="00963445" w:rsidP="008C4A9B">
            <w:pPr>
              <w:pStyle w:val="NormalWeb"/>
              <w:spacing w:before="0" w:beforeAutospacing="0" w:after="0" w:afterAutospacing="0"/>
              <w:jc w:val="both"/>
            </w:pPr>
            <w:r w:rsidRPr="000F1664">
              <w:t>Việc nhập khẩu chó cảnh và chó để trợ giúp, theo CFIA định nghĩa, từ các quốc gia có nguy cơ cao sẽ tiếp tục được cho phép theo yêu cầu nhập khẩu hiện hành của CFIA. Hệ thống tham chiếu nhập khẩu tự động của CFIA (AIRS) là cơ sở cho các yêu cầu nhập khẩu của Ca-na-đa.</w:t>
            </w:r>
          </w:p>
        </w:tc>
      </w:tr>
      <w:tr w:rsidR="00963445" w:rsidRPr="000F1664" w14:paraId="77586B7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54E01B8" w14:textId="2D7445CA"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hAnsi="Times New Roman" w:cs="Times New Roman"/>
                <w:sz w:val="24"/>
                <w:szCs w:val="24"/>
              </w:rPr>
              <w:lastRenderedPageBreak/>
              <w:t>26</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4C6FC85" w14:textId="65EA1648"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G/SPS/N/EU/576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0D26564" w14:textId="384C0B0E"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ATTP, TY, QLCL</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8354B23" w14:textId="356936BE"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F902F04" w14:textId="01D34017"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04/7/2022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9689A39" w14:textId="7B3247B6"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 xml:space="preserve">Dự thảo Quy định ủy ban (EU) sửa đổi Quy định (EC) số 1881/2006 về mức tối đa của </w:t>
            </w:r>
            <w:r w:rsidRPr="000F1664">
              <w:rPr>
                <w:rFonts w:ascii="Times New Roman" w:eastAsia="Times New Roman" w:hAnsi="Times New Roman" w:cs="Times New Roman"/>
                <w:sz w:val="24"/>
                <w:szCs w:val="24"/>
                <w:lang w:val="en-US"/>
              </w:rPr>
              <w:lastRenderedPageBreak/>
              <w:t>perfluoroalkyl trong một số loại thực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89E98CA" w14:textId="46E07311" w:rsidR="00963445" w:rsidRPr="000F1664" w:rsidRDefault="00963445" w:rsidP="008C4A9B">
            <w:pPr>
              <w:pStyle w:val="NormalWeb"/>
              <w:spacing w:before="0" w:beforeAutospacing="0" w:after="0" w:afterAutospacing="0"/>
              <w:jc w:val="both"/>
              <w:rPr>
                <w:highlight w:val="yellow"/>
              </w:rPr>
            </w:pPr>
            <w:r w:rsidRPr="000F1664">
              <w:lastRenderedPageBreak/>
              <w:t xml:space="preserve">Dự thảo quy định thiết lập mức tối đa đối với axit perfluorooctane sulfonic (PFOS), axit perfluorooctanoic (PFOA), axit perfluorononanoic (PFNA) và axit </w:t>
            </w:r>
            <w:r w:rsidRPr="000F1664">
              <w:lastRenderedPageBreak/>
              <w:t>perfluorohexane sulfonic (PFHxS) và tổng PFOS, PFOA, PFNA và PFHxS trong trứng, thịt cá, giáp xác, nhuyễn thể hai mảnh vỏ, thịt và nội tạng ăn của động vật trên cạn.</w:t>
            </w:r>
          </w:p>
        </w:tc>
      </w:tr>
      <w:tr w:rsidR="00963445" w:rsidRPr="000F1664" w14:paraId="129D5062"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9304C5E" w14:textId="60A62B33"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27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61F148A" w14:textId="62DC0DC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G/SPS/N/EU/575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163AC0D" w14:textId="708E6FC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7CC5839" w14:textId="09B6C887"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56152F4" w14:textId="2176F66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04/7/2022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1B84915" w14:textId="7522DDDF"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Quy định ủy ban sửa đổi Phụ lục II, III và V Quy định (EC) số 396/2005 của Nghị viện và Hội đồng châu Âu liên quan đến dư lượng tối đa của benalaxyl, bromoxynil, chlorsulfuron, epoxiconazole và fenamiphos trong một số sản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5D8A0CA" w14:textId="774574C2" w:rsidR="00963445" w:rsidRPr="000F1664" w:rsidRDefault="00963445" w:rsidP="008C4A9B">
            <w:pPr>
              <w:pStyle w:val="NormalWeb"/>
              <w:spacing w:before="0" w:beforeAutospacing="0" w:after="0" w:afterAutospacing="0"/>
              <w:jc w:val="both"/>
            </w:pPr>
            <w:r w:rsidRPr="000F1664">
              <w:t>Dự thảo đề xuất Quy định cập nhật MRLs đối với benalaxyl, bromoxynil, chlorsulfuron, epoxiconazole và fenamiphos trong một số mặt hàng thực phẩm. MRL các chất này sẽ thay đổi; với mức MRLs thấp hơn được cập nhật sau khi cập nhật mức giới hạn mới hoặc xóa các mục đích sử dụng cũ không được phép theo quy định Liên minh châu Âu.</w:t>
            </w:r>
          </w:p>
        </w:tc>
      </w:tr>
      <w:tr w:rsidR="00963445" w:rsidRPr="000F1664" w14:paraId="4D2AF3AD"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5244A1A" w14:textId="61D4350B"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28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82181C4" w14:textId="3072A118"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G/SPS/N/NZL/692</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87BFE96" w14:textId="2966C3D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7E2BE26" w14:textId="6C92F66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Niu Di-lân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0A582CE" w14:textId="11C9FDF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04/7/2022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8981238" w14:textId="5A7AF225"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Tiêu chuẩn quản lý rủi ro cho tàu thủy</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977A903" w14:textId="77777777" w:rsidR="00963445" w:rsidRPr="000F1664" w:rsidRDefault="00963445" w:rsidP="008C4A9B">
            <w:pPr>
              <w:pStyle w:val="NormalWeb"/>
              <w:spacing w:before="0" w:beforeAutospacing="0" w:after="0" w:afterAutospacing="0"/>
              <w:jc w:val="both"/>
            </w:pPr>
            <w:r w:rsidRPr="000F1664">
              <w:t>Tiêu chuẩn đề xuất dành cho tàu thủy, tiêu chuẩn hiện tại và các yêu cầu về hệ thống lọc sinh học (có trong CRMS-Biofoul) được tổng hợp trong một tài liệu. Tài liệu CRMS-Biofoul sẽ được thu hồi. Tiêu chuẩn thay đổi nhằm đảm bảo tiêu chuẩn tàu thủy phù hợp với mục đích sử dụng của chúng.</w:t>
            </w:r>
          </w:p>
          <w:p w14:paraId="0CFFD214" w14:textId="4E9B917C" w:rsidR="00963445" w:rsidRPr="000F1664" w:rsidRDefault="00963445" w:rsidP="008C4A9B">
            <w:pPr>
              <w:pStyle w:val="NormalWeb"/>
              <w:spacing w:before="0" w:beforeAutospacing="0" w:after="0" w:afterAutospacing="0"/>
              <w:jc w:val="both"/>
            </w:pPr>
            <w:r w:rsidRPr="000F1664">
              <w:t>Thay đổi chủ yếu từ: Kéo dài thời gian cho phép đối với tàu lưu trú ngắn hạn ở Niu Di-lân: Các yêu cầu về kiểm tra hệ thống lọc sinh học trên tàu và thay đổi tên thông thường của các loài gây hại cầnquản lý: Lymantria (trước đây là AGM). Thời gian gây rủi ro của loài Lymantria được kéo dài.</w:t>
            </w:r>
          </w:p>
        </w:tc>
      </w:tr>
      <w:tr w:rsidR="00963445" w:rsidRPr="000F1664" w14:paraId="450CCF4C"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5F50736" w14:textId="2503C7F5"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29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3D30659" w14:textId="61E8DC15"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G/SPS/N/USA/3336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1A73748" w14:textId="40BB0D3A"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700B2C7" w14:textId="4425C59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Hoa Kỳ</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0D74C2B" w14:textId="34B3CCA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E91D93A" w14:textId="5DE06389"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Thông báo tiếp nhận hồ sơ kiến nghị tồn dư thuốc bảo vệ thực vật của hóa chất trong một số loại hàng hóa. Thông báo việc kiến nghị và yêu cầu góp ý</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C47441D" w14:textId="26C9A084" w:rsidR="00963445" w:rsidRPr="000F1664" w:rsidRDefault="00963445" w:rsidP="008C4A9B">
            <w:pPr>
              <w:pStyle w:val="NormalWeb"/>
              <w:spacing w:before="0" w:beforeAutospacing="0" w:after="0" w:afterAutospacing="0"/>
              <w:jc w:val="both"/>
            </w:pPr>
            <w:r w:rsidRPr="000F1664">
              <w:t>Cơ quan thông báo đã tiếp nhận hồ sơ kiến nghị ban đầu về tồn dư thuốc bảo vệ thực vật có khi thiết lập, sửa đổi quy định về dư lượng hóa chất bảo vệ thực vật trong một số hàng hóa.</w:t>
            </w:r>
            <w:r w:rsidRPr="000F1664">
              <w:tab/>
            </w:r>
          </w:p>
        </w:tc>
      </w:tr>
      <w:tr w:rsidR="00963445" w:rsidRPr="000F1664" w14:paraId="403AA6F7"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807FD75" w14:textId="1D1AB72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30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7796A62" w14:textId="7C57A60E"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G/SPS/N/USA/3335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7F2E7ED" w14:textId="5BAF6A64"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CB83D06" w14:textId="2A60564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Hoa Kỳ</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309E56C" w14:textId="54F9A438"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DB33CB3" w14:textId="7AC4AA5D"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 xml:space="preserve">Thông báo tiếp nhận hồ sơ kiến nghị tồn dư thuốc bảo vệ thực vật </w:t>
            </w:r>
            <w:r w:rsidRPr="000F1664">
              <w:rPr>
                <w:rFonts w:ascii="Times New Roman" w:eastAsia="Times New Roman" w:hAnsi="Times New Roman" w:cs="Times New Roman"/>
                <w:sz w:val="24"/>
                <w:szCs w:val="24"/>
                <w:lang w:val="en-US"/>
              </w:rPr>
              <w:lastRenderedPageBreak/>
              <w:t>của hóa chất trong một số loại hàng hóa. Thông báo việc kiến nghị và yêu cầu góp ý</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02C580D" w14:textId="5F5B48EA" w:rsidR="00963445" w:rsidRPr="000F1664" w:rsidRDefault="00963445" w:rsidP="008C4A9B">
            <w:pPr>
              <w:pStyle w:val="NormalWeb"/>
              <w:spacing w:before="0" w:beforeAutospacing="0" w:after="0" w:afterAutospacing="0"/>
              <w:jc w:val="both"/>
            </w:pPr>
            <w:r w:rsidRPr="000F1664">
              <w:lastRenderedPageBreak/>
              <w:t xml:space="preserve">Cơ quan thông báo đã tiếp nhận hồ sơ kiến nghị ban đầu về tồn dư thuốc bảo vệ thực vật có khi thiết lập, sửa đổi </w:t>
            </w:r>
            <w:r w:rsidRPr="000F1664">
              <w:lastRenderedPageBreak/>
              <w:t>quy định về dư lượng hóa chất bảo vệ thực vật trong một số hàng hóa.</w:t>
            </w:r>
          </w:p>
        </w:tc>
      </w:tr>
      <w:tr w:rsidR="00963445" w:rsidRPr="000F1664" w14:paraId="6DC445DE"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ADBAD63" w14:textId="24F03E83"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31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5242D12" w14:textId="4D2C47E0"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G/SPS/N/NZL/691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7E1DD82" w14:textId="1EAC9D0B"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EFBB97E" w14:textId="3D6AFA8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Niu Di-lân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A07D498" w14:textId="32ED700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9737913" w14:textId="01CC3713"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Tiêu chuẩn sức khỏe đối với hàngnhập khẩu: Cây Persea americana trồng (MPI.IHS.PERSEA.PFP).</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27068F5" w14:textId="77777777" w:rsidR="00963445" w:rsidRPr="000F1664" w:rsidRDefault="00963445" w:rsidP="008C4A9B">
            <w:pPr>
              <w:pStyle w:val="NormalWeb"/>
              <w:spacing w:before="0" w:beforeAutospacing="0" w:after="0" w:afterAutospacing="0"/>
              <w:jc w:val="both"/>
            </w:pPr>
            <w:r w:rsidRPr="000F1664">
              <w:t xml:space="preserve">Tiêu chuẩn đề xuất yêu cầu KDTVđể quản lý các loài gây hại được quản lý có liên quan đến cây Persea americana  để trồng nhập khẩu vào Niu Di-lân. Áp dụng tiêu chuẩn sức khỏe đối với hàng nhập khẩu: </w:t>
            </w:r>
          </w:p>
          <w:p w14:paraId="18396AD6" w14:textId="5D7773AA" w:rsidR="00963445" w:rsidRPr="000F1664" w:rsidRDefault="00963445" w:rsidP="008C4A9B">
            <w:pPr>
              <w:pStyle w:val="NormalWeb"/>
              <w:spacing w:before="0" w:beforeAutospacing="0" w:after="0" w:afterAutospacing="0"/>
              <w:jc w:val="both"/>
            </w:pPr>
            <w:r w:rsidRPr="000F1664">
              <w:t>(MPI.IHS.PERSEA.PFP) cho phép buôn bán theo đường mới, chưa được sử dụng kể từ năm 2006.</w:t>
            </w:r>
          </w:p>
        </w:tc>
      </w:tr>
      <w:tr w:rsidR="00963445" w:rsidRPr="000F1664" w14:paraId="35E694F2"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94E0E3D" w14:textId="2F9AF30B"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32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DB94359" w14:textId="63C0CC7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G/SPS/N/IND/285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7595DCF" w14:textId="7FD841D8"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A70BC0B" w14:textId="3CE2584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Ấn Độ</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1EAD6C7" w14:textId="246B9516"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93E4F89" w14:textId="049F9AF6"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 định về tiêu chuẩn và an toàn thực phẩm sửa đổi (Đồ uống có cồn),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BA2F6E4" w14:textId="34B87CD2" w:rsidR="00963445" w:rsidRPr="000F1664" w:rsidRDefault="00963445" w:rsidP="008C4A9B">
            <w:pPr>
              <w:pStyle w:val="NormalWeb"/>
              <w:spacing w:before="0" w:beforeAutospacing="0" w:after="0" w:afterAutospacing="0"/>
              <w:jc w:val="both"/>
            </w:pPr>
            <w:r w:rsidRPr="000F1664">
              <w:t>Quy định về tiêu chuẩn và an toàn thực phẩm sửa đổi sửa đổi (Đồ uống có cồn) năm 2022 nêu rõ định nghĩa về rượu whisky mạch nha đơn hoặc rượu whisky ngũ cốc và ghi nhãn cho hàm lượng năng lượng dưới dạng K. Cal.</w:t>
            </w:r>
          </w:p>
        </w:tc>
      </w:tr>
      <w:tr w:rsidR="00963445" w:rsidRPr="000F1664" w14:paraId="4B0BAA04"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3ED51BC" w14:textId="666AC376"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33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9ECD52A" w14:textId="2A4FAE9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G/SPS/N/IND/284</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DBA9083" w14:textId="0294F28B"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946CCC7" w14:textId="7CB8671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Ấn Độ</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C2ACA4D" w14:textId="672FE27B"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09FEE46" w14:textId="18808AC2"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 định về tiêu chuẩn bao bì và an toàn thực phẩm sửa đổi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284C879" w14:textId="45B22A14" w:rsidR="00963445" w:rsidRPr="000F1664" w:rsidRDefault="00963445" w:rsidP="008C4A9B">
            <w:pPr>
              <w:pStyle w:val="NormalWeb"/>
              <w:spacing w:before="0" w:beforeAutospacing="0" w:after="0" w:afterAutospacing="0"/>
              <w:jc w:val="both"/>
            </w:pPr>
            <w:r w:rsidRPr="000F1664">
              <w:t>Quy định về tiêu chuẩn và an toàn thực phẩm sửa đổi sửa đổi (Bao bì) năm 2022 quy định việc sử dụng nhựa tái chế trong bao bì thực phẩm.</w:t>
            </w:r>
          </w:p>
        </w:tc>
      </w:tr>
      <w:tr w:rsidR="00963445" w:rsidRPr="000F1664" w14:paraId="0185A1C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AB6BA9B" w14:textId="28D9773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34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986300D" w14:textId="63AB386F"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G/SPS/N/IND/283</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BEE18F8" w14:textId="48E96A8E"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840CF6B" w14:textId="3242638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Ấn Độ</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961EFDF" w14:textId="0BB66EB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D3C1A18" w14:textId="5332668C"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 định về tiêu chuẩn và an toàn thực phẩm sửa đổi(Quy định về thực phẩm và phụ gia thực phẩm),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F78EB4D" w14:textId="77777777" w:rsidR="00963445" w:rsidRPr="000F1664" w:rsidRDefault="00963445" w:rsidP="008C4A9B">
            <w:pPr>
              <w:pStyle w:val="NormalWeb"/>
              <w:spacing w:before="0" w:beforeAutospacing="0" w:after="0" w:afterAutospacing="0"/>
              <w:jc w:val="both"/>
            </w:pPr>
            <w:r w:rsidRPr="000F1664">
              <w:t xml:space="preserve">Quy định về tiêu chuẩn và an toàn thực phẩm sửa đổi (Quy định về thực phẩm và phụ gia thực phẩm) năm 2022 quy định các tiêu chuẩn đối với pho mát mozzarella, pho mát phết chế biến, bơ lạc, dầu ngô (ngọc mễ), trứng muối, dầu cá, mùi tây khô, </w:t>
            </w:r>
          </w:p>
          <w:p w14:paraId="05C213FE" w14:textId="7CE7BE03" w:rsidR="00963445" w:rsidRPr="000F1664" w:rsidRDefault="00963445" w:rsidP="008C4A9B">
            <w:pPr>
              <w:pStyle w:val="NormalWeb"/>
              <w:spacing w:before="0" w:beforeAutospacing="0" w:after="0" w:afterAutospacing="0"/>
              <w:jc w:val="both"/>
            </w:pPr>
            <w:r w:rsidRPr="000F1664">
              <w:t>PHỤ LỤC A, Tiêu chuẩn các sản phẩm sữa non trâu bò sục khí trong chất béo thực vật, chất béo trong bánh, tiêu chuẩn axit béo cho dầu ô liu, gạo, gạo tăng cường, oligofructose, tiêu chuẩn vi sinh đối với men làm bánh và si rô cọ (neera)</w:t>
            </w:r>
          </w:p>
        </w:tc>
      </w:tr>
      <w:tr w:rsidR="00963445" w:rsidRPr="000F1664" w14:paraId="38E4926A"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501D5BB" w14:textId="39C00BD1"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35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E9B68F0" w14:textId="5A359955"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G/SPS/N/EU/574</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B15BABF" w14:textId="4F4306AD"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BAA04A1" w14:textId="6ADFB36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4808D1F" w14:textId="516BD6A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2B2C930" w14:textId="318E0122"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 xml:space="preserve">Quy định thực thi của Ủy ban (EU) 2022/966 ngày 21 tháng 6 </w:t>
            </w:r>
            <w:r w:rsidRPr="000F1664">
              <w:rPr>
                <w:rFonts w:ascii="Times New Roman" w:eastAsia="Times New Roman" w:hAnsi="Times New Roman" w:cs="Times New Roman"/>
                <w:sz w:val="24"/>
                <w:szCs w:val="24"/>
                <w:lang w:val="en-US"/>
              </w:rPr>
              <w:lastRenderedPageBreak/>
              <w:t>năm 2022 sửa đổi Quy định thực thi (EU) 2017/2470 về điều kiện sử dụng, yêu cầu ghi nhãn cụ thể và thông số kỹ thuật của dầu thực phẩm dạng mới Calanus finmarchicus</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A2E9A5D" w14:textId="18F1BA47" w:rsidR="00963445" w:rsidRPr="000F1664" w:rsidRDefault="00963445" w:rsidP="008C4A9B">
            <w:pPr>
              <w:pStyle w:val="NormalWeb"/>
              <w:spacing w:before="0" w:beforeAutospacing="0" w:after="0" w:afterAutospacing="0"/>
              <w:jc w:val="both"/>
            </w:pPr>
            <w:r w:rsidRPr="000F1664">
              <w:lastRenderedPageBreak/>
              <w:t xml:space="preserve">Biện pháp đề cập đến những thay đổi trong điều kiện sử dụng, yêu cầu ghi nhãn cụ thể và thông số kỹ thuật của </w:t>
            </w:r>
            <w:r w:rsidRPr="000F1664">
              <w:lastRenderedPageBreak/>
              <w:t>dầu thực phẩm dạng mới Calanus finmarchicus.</w:t>
            </w:r>
          </w:p>
        </w:tc>
      </w:tr>
      <w:tr w:rsidR="00963445" w:rsidRPr="000F1664" w14:paraId="46EC6DD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3480E98" w14:textId="179234A8"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36</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3D1C1ED" w14:textId="3C87630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G/SPS/N/BRA/2049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1097DA3" w14:textId="349BB2C7"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4259634" w14:textId="5DD7471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Bờ-ra-xin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1002761" w14:textId="1B53ABB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DF36997" w14:textId="14027ED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Nghị quyết số 1099, ngày 24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61A5687" w14:textId="77777777" w:rsidR="00963445" w:rsidRPr="000F1664" w:rsidRDefault="00963445" w:rsidP="008C4A9B">
            <w:pPr>
              <w:pStyle w:val="NormalWeb"/>
              <w:spacing w:before="0" w:beforeAutospacing="0" w:after="0" w:afterAutospacing="0"/>
              <w:jc w:val="both"/>
            </w:pPr>
            <w:r w:rsidRPr="000F1664">
              <w:t>Dự thảo này đề xuất nghị quyết của Hội đồng quản trị viện - RDC - về việc cấm hoạt chất carbendazim trong các sản phẩm thuốc trừ sâu trong nước.</w:t>
            </w:r>
          </w:p>
          <w:p w14:paraId="1E2685EC" w14:textId="5B765248" w:rsidR="00963445" w:rsidRPr="000F1664" w:rsidRDefault="00963445" w:rsidP="008C4A9B">
            <w:pPr>
              <w:pStyle w:val="NormalWeb"/>
              <w:spacing w:before="0" w:beforeAutospacing="0" w:after="0" w:afterAutospacing="0"/>
              <w:jc w:val="both"/>
            </w:pPr>
            <w:r w:rsidRPr="000F1664">
              <w:t>Carbendazim đã được đánh giá lại và được đưa ra kết luận rằng chất này có các đặc tính độc hại và bị cấm đăng ký trong danh mục thuốc trừ sâu theo luật pháp Bờ-ra-xin. Do đó, Hội đồng đề xuất, xác định giải pháp tốt nhất cho vấn đề và ra quyết định về: việc duy trì, áp dụng các biện pháp giảm thiểu rủi ro sức khỏe, nhu cầu thay đổi hồ sơ, ngừng sử dụng hoặc cấm sản xuất, nhập khẩu, xuất khẩu, thương mại hóa và sử dụng thành phần hoạt chất và các sản phẩm kỹ thuật và công thức của nó.</w:t>
            </w:r>
          </w:p>
        </w:tc>
      </w:tr>
      <w:tr w:rsidR="00963445" w:rsidRPr="000F1664" w14:paraId="512098EA"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7261F44" w14:textId="5EFAE1C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37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73E0F3E" w14:textId="4F572B3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G/SPS/N/UGA/200</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2DBA454" w14:textId="2F802C4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F3BE615" w14:textId="0C7CBF1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7F69CFB" w14:textId="350E662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AF10B7E" w14:textId="3B6D077C"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DARS 867: 2022, Tiêu chuẩn đậu đũa khô - Đặc điểm kỹ thuật,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C52D776" w14:textId="7D3DC775" w:rsidR="00963445" w:rsidRPr="000F1664" w:rsidRDefault="00963445" w:rsidP="008C4A9B">
            <w:pPr>
              <w:pStyle w:val="NormalWeb"/>
              <w:spacing w:before="0" w:beforeAutospacing="0" w:after="0" w:afterAutospacing="0"/>
              <w:jc w:val="both"/>
            </w:pPr>
            <w:r w:rsidRPr="000F1664">
              <w:t>Dự thảo tiêu chuẩn của U-gan-đa quy định các yêu cầu và phương pháp lấy mẫu và thử nghiệm đối với đậu đũa khô của các giống được trồng từ Vigna unguiculata (L.) Sync. Vigna sinensis (L.) dành cho người. Tiêu chuẩn không áp dụng cho đậu đũa đã chế biến.</w:t>
            </w:r>
          </w:p>
        </w:tc>
      </w:tr>
      <w:tr w:rsidR="00963445" w:rsidRPr="000F1664" w14:paraId="7700118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A6728E2" w14:textId="59B56E55"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hAnsi="Times New Roman" w:cs="Times New Roman"/>
                <w:sz w:val="24"/>
                <w:szCs w:val="24"/>
              </w:rPr>
              <w:t>38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A973B0C" w14:textId="650FD8C7"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G/SPS/N/UGA/199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6C126BB" w14:textId="0395976F"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AF7B8EF" w14:textId="368E7A9B"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C7EA356" w14:textId="5DCDB4B5"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14CCD1E" w14:textId="3BE51546"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DUS DARS 871: 2022, Tiêu chuẩn đậu Hà Lan tách khô - Đặc điểm kỹ thuật,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B6FE586" w14:textId="77777777" w:rsidR="00963445" w:rsidRPr="000F1664" w:rsidRDefault="00963445" w:rsidP="008C4A9B">
            <w:pPr>
              <w:pStyle w:val="NormalWeb"/>
              <w:spacing w:before="0" w:beforeAutospacing="0" w:after="0" w:afterAutospacing="0"/>
              <w:jc w:val="both"/>
            </w:pPr>
            <w:r w:rsidRPr="000F1664">
              <w:t>Dự thảo tiêu chuẩn của  Uganda quy định các yêu cầu và phương pháp lấy mẫu và thử nghiệm đối với đậu Hà Lan tách khô của các giống trồng từ Pisum sativum L. và Pisum sativum var. arvense L. dành cho người tiêu dùng.</w:t>
            </w:r>
          </w:p>
          <w:p w14:paraId="015362C0" w14:textId="4EC51E18" w:rsidR="00963445" w:rsidRPr="000F1664" w:rsidRDefault="00963445" w:rsidP="008C4A9B">
            <w:pPr>
              <w:pStyle w:val="NormalWeb"/>
              <w:spacing w:before="0" w:beforeAutospacing="0" w:after="0" w:afterAutospacing="0"/>
              <w:jc w:val="both"/>
              <w:rPr>
                <w:highlight w:val="yellow"/>
              </w:rPr>
            </w:pPr>
            <w:r w:rsidRPr="000F1664">
              <w:t>Lưu ý: Dự thảo Tiêu chuẩn Uganda này cũng đã được thông báo cho Ủy ban TBT.</w:t>
            </w:r>
          </w:p>
        </w:tc>
      </w:tr>
      <w:tr w:rsidR="00963445" w:rsidRPr="000F1664" w14:paraId="51443896"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71BC3BD" w14:textId="20568C32"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39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8AC4CB7" w14:textId="24E0A16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G/SPS/N/UGA/198</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507FF8A" w14:textId="6C275102"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EE34305" w14:textId="46D689C8"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F8F1A9D" w14:textId="0B06B09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FFCE65B" w14:textId="46510D7C"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DARS 1224: 2021, Tiêu chuẩn thịt gà - Thân thịt và các bộ phận,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14948B1" w14:textId="77777777" w:rsidR="00963445" w:rsidRPr="000F1664" w:rsidRDefault="00963445" w:rsidP="008C4A9B">
            <w:pPr>
              <w:pStyle w:val="NormalWeb"/>
              <w:spacing w:before="0" w:beforeAutospacing="0" w:after="0" w:afterAutospacing="0"/>
              <w:jc w:val="both"/>
            </w:pPr>
            <w:r w:rsidRPr="000F1664">
              <w:t>Dự thảo tiêu chuẩn U-gan-đa quy định các yêu cầu về chất lượng và an toàn, phương pháp lấy mẫu và thử nghiệm đối với thịt gà sống, thân thịt và các bộ phận của nó dùng cho người, không bao gồm các sản phẩm có thêm thành phần khác hoặc "chế phẩm từ gà".</w:t>
            </w:r>
          </w:p>
          <w:p w14:paraId="0FABEA32" w14:textId="5376A270" w:rsidR="00963445" w:rsidRPr="000F1664" w:rsidRDefault="00963445" w:rsidP="008C4A9B">
            <w:pPr>
              <w:pStyle w:val="NormalWeb"/>
              <w:spacing w:before="0" w:beforeAutospacing="0" w:after="0" w:afterAutospacing="0"/>
              <w:jc w:val="both"/>
            </w:pPr>
            <w:r w:rsidRPr="000F1664">
              <w:t>Lưu ý: Dự thảo Tiêu chuẩn Uganda này cũng đã được thông báo cho Ủy ban TBT.</w:t>
            </w:r>
          </w:p>
        </w:tc>
      </w:tr>
      <w:tr w:rsidR="00963445" w:rsidRPr="000F1664" w14:paraId="2D78DD39"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62699C1" w14:textId="334D216C" w:rsidR="00963445" w:rsidRPr="000F1664" w:rsidRDefault="00963445" w:rsidP="00AA3CAB">
            <w:pPr>
              <w:spacing w:after="0" w:line="240" w:lineRule="auto"/>
              <w:jc w:val="center"/>
              <w:rPr>
                <w:rFonts w:ascii="Times New Roman" w:eastAsia="Times New Roman" w:hAnsi="Times New Roman" w:cs="Times New Roman"/>
                <w:sz w:val="24"/>
                <w:szCs w:val="24"/>
                <w:highlight w:val="yellow"/>
              </w:rPr>
            </w:pPr>
            <w:r w:rsidRPr="000F1664">
              <w:rPr>
                <w:rFonts w:ascii="Times New Roman" w:hAnsi="Times New Roman" w:cs="Times New Roman"/>
                <w:sz w:val="24"/>
                <w:szCs w:val="24"/>
                <w:lang w:val="vi-VN"/>
              </w:rPr>
              <w:t>40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13BA3B7" w14:textId="59CF34C3"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G/SPS/N/UGA/197</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804796D" w14:textId="01E73A9C"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EB30B2F" w14:textId="4D30C9B8"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5C0F9F1" w14:textId="1062EECF"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74173A9" w14:textId="71930AD1"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0F1664">
              <w:rPr>
                <w:rFonts w:ascii="Times New Roman" w:eastAsia="Times New Roman" w:hAnsi="Times New Roman" w:cs="Times New Roman"/>
                <w:sz w:val="24"/>
                <w:szCs w:val="24"/>
                <w:lang w:val="en-US"/>
              </w:rPr>
              <w:t>DUS DARS 1199: 2022, Đặc điểm kỹ thuật và phân loại -Trứng ăn được có vỏ,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EC7CC30" w14:textId="77777777" w:rsidR="00963445" w:rsidRPr="000F1664" w:rsidRDefault="00963445" w:rsidP="008C4A9B">
            <w:pPr>
              <w:pStyle w:val="NormalWeb"/>
              <w:spacing w:before="0" w:beforeAutospacing="0" w:after="0" w:afterAutospacing="0"/>
              <w:jc w:val="both"/>
            </w:pPr>
            <w:r w:rsidRPr="000F1664">
              <w:t>1.1. Dự thảo Tiêu chuẩn của Uganda quy định các yêu cầu về an toàn và chất lượng, phương pháp lấy mẫu và phương pháp thử nghiệm đối với trứng gà mái ăn được có vỏ dùng cho người.</w:t>
            </w:r>
          </w:p>
          <w:p w14:paraId="11F11D9D" w14:textId="77777777" w:rsidR="00963445" w:rsidRPr="000F1664" w:rsidRDefault="00963445" w:rsidP="008C4A9B">
            <w:pPr>
              <w:pStyle w:val="NormalWeb"/>
              <w:spacing w:before="0" w:beforeAutospacing="0" w:after="0" w:afterAutospacing="0"/>
              <w:jc w:val="both"/>
            </w:pPr>
            <w:r w:rsidRPr="000F1664">
              <w:t>1.2. Tiêu chuẩn này áp dụng cho các loại trứng gà còn nguyên vỏ dùng để ăn trực tiếp cho con người và sử dụng trong các ngành công nghiệp thực phẩm và/hoặc phi thực phẩm.</w:t>
            </w:r>
          </w:p>
          <w:p w14:paraId="6A09D125" w14:textId="77777777" w:rsidR="00963445" w:rsidRPr="000F1664" w:rsidRDefault="00963445" w:rsidP="008C4A9B">
            <w:pPr>
              <w:pStyle w:val="NormalWeb"/>
              <w:spacing w:before="0" w:beforeAutospacing="0" w:after="0" w:afterAutospacing="0"/>
              <w:jc w:val="both"/>
            </w:pPr>
            <w:r w:rsidRPr="000F1664">
              <w:t>1.3. Tất cả trứng phải có nguồn gốc từ gà đẻ hoặc gà đẻ của đàn giống được nuôi trong các trang trại được vận hành thường xuyên theo các quy định hiện hành liên quan đến kiểm tra và an toàn thực phẩm.</w:t>
            </w:r>
          </w:p>
          <w:p w14:paraId="15A972BA" w14:textId="77777777" w:rsidR="00963445" w:rsidRPr="000F1664" w:rsidRDefault="00963445" w:rsidP="008C4A9B">
            <w:pPr>
              <w:pStyle w:val="NormalWeb"/>
              <w:spacing w:before="0" w:beforeAutospacing="0" w:after="0" w:afterAutospacing="0"/>
              <w:jc w:val="both"/>
            </w:pPr>
            <w:r w:rsidRPr="000F1664">
              <w:t>1.4. Các thông số kỹ thuật về chất lượng bên trong của quả trứng đối với các tiêu chuẩn này dựa trên tình trạng bên trong của quả trứng khi xoay tròn trứng trước ánh nến. Có thể sử dụng bất kỳ loại ánh sáng nào để cho phép người chấm điểm xác định chính xác nhất quán chất lượng bên trong vỏ trứng, với mục tiêu là khi đập ra một quả trứng bất kỳ và bằng cách xác định giá trị đơn vị Haugh của quả trứng đã vỡ, so sánh giữa hình thức vỡ và hình thức khi soi trước nến, từ đó hỗ trợ trong việc tương quan giữa hình thức trứng khi soi nến và khi vỡ.</w:t>
            </w:r>
          </w:p>
          <w:p w14:paraId="00829ACA" w14:textId="20A30DD5" w:rsidR="00963445" w:rsidRPr="000F1664" w:rsidRDefault="00963445" w:rsidP="008C4A9B">
            <w:pPr>
              <w:pStyle w:val="NormalWeb"/>
              <w:spacing w:before="0" w:beforeAutospacing="0" w:after="0" w:afterAutospacing="0"/>
              <w:jc w:val="both"/>
              <w:rPr>
                <w:highlight w:val="yellow"/>
              </w:rPr>
            </w:pPr>
            <w:r w:rsidRPr="000F1664">
              <w:t>Lưu ý: Dự thảo Tiêu chuẩn Uganda này cũng đã được thông báo cho Ủy ban TBT.</w:t>
            </w:r>
          </w:p>
        </w:tc>
      </w:tr>
      <w:tr w:rsidR="00963445" w:rsidRPr="000F1664" w14:paraId="5D27ABB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D68091F" w14:textId="3107FC1C"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41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0CBA323" w14:textId="502FBECE"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G/SPS/N/UGA/196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F3E2302" w14:textId="6D712C26"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DD1E924" w14:textId="02BBA12B"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8E9F168" w14:textId="150FEF7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1DEE8C5" w14:textId="2671812C"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DARS 1242: 2022, Tiêu chuẩn thịt ngỗng - Thân thịt và các bộ phận,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A41B5A9" w14:textId="77777777" w:rsidR="00963445" w:rsidRPr="000F1664" w:rsidRDefault="00963445" w:rsidP="008C4A9B">
            <w:pPr>
              <w:pStyle w:val="NormalWeb"/>
              <w:spacing w:before="0" w:beforeAutospacing="0" w:after="0" w:afterAutospacing="0"/>
              <w:jc w:val="both"/>
            </w:pPr>
            <w:r w:rsidRPr="000F1664">
              <w:t>Dự thảo Tiêu chuẩn của Uganda quy định các yêu cầu về chất lượng và an toàn, phương pháp lấy mẫu và phương pháp thử đối với thịt ngỗng sống, thân thịt và các bộ phận của nó dùng cho người, không bao gồm sản phẩm có thêm thành phần khác hoặc "chế phẩm từ ngỗng".</w:t>
            </w:r>
          </w:p>
          <w:p w14:paraId="5F9473B4" w14:textId="15E2D390" w:rsidR="00963445" w:rsidRPr="000F1664" w:rsidRDefault="00963445" w:rsidP="008C4A9B">
            <w:pPr>
              <w:pStyle w:val="NormalWeb"/>
              <w:spacing w:before="0" w:beforeAutospacing="0" w:after="0" w:afterAutospacing="0"/>
              <w:jc w:val="both"/>
            </w:pPr>
            <w:r w:rsidRPr="000F1664">
              <w:t>Lưu ý: Dự thảo Tiêu chuẩn Uganda này cũng đã được thông báo cho Ủy ban TBT.</w:t>
            </w:r>
          </w:p>
        </w:tc>
      </w:tr>
      <w:tr w:rsidR="00963445" w:rsidRPr="000F1664" w14:paraId="326EDBC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3976245" w14:textId="1A5F89C7"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42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5F273F9" w14:textId="1FBCA4E9"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G/SPS/N/UGA/184</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1580D05" w14:textId="1A47725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9F8526E" w14:textId="1CDDD51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67F2918" w14:textId="6071A82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7583D1B" w14:textId="13122F43"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DARS 1246: 2022, Tiêu chuẩn  thịt bò (bê) - Thân thịt và phần thịt đã cắt rời,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BE68E89" w14:textId="77777777" w:rsidR="00963445" w:rsidRPr="000F1664" w:rsidRDefault="00963445" w:rsidP="008C4A9B">
            <w:pPr>
              <w:pStyle w:val="NormalWeb"/>
              <w:spacing w:before="0" w:beforeAutospacing="0" w:after="0" w:afterAutospacing="0"/>
              <w:jc w:val="both"/>
            </w:pPr>
            <w:r w:rsidRPr="000F1664">
              <w:t>Dự thảo Tiêu chuẩn của Uganda quy định việc phân loại thịt bê, các yêu cầu về chất lượng và an toàn, lấy mẫu và các phương pháp kiểm tra tham chiếu đối với thân thịt của chúng, nhằm mục đích làm thức ăn cho người. Tiêu chuẩn này cũng xác định các phần chính của phần thịt cắt từ thân thịt để bán.</w:t>
            </w:r>
          </w:p>
          <w:p w14:paraId="6F2D2845" w14:textId="66F7088A" w:rsidR="00963445" w:rsidRPr="000F1664" w:rsidRDefault="00963445" w:rsidP="008C4A9B">
            <w:pPr>
              <w:pStyle w:val="NormalWeb"/>
              <w:spacing w:before="0" w:beforeAutospacing="0" w:after="0" w:afterAutospacing="0"/>
              <w:jc w:val="both"/>
            </w:pPr>
            <w:r w:rsidRPr="000F1664">
              <w:t>Lưu ý: Dự thảo Tiêu chuẩn Uganda này cũng đã được thông báo cho Ủy ban TBT.</w:t>
            </w:r>
          </w:p>
        </w:tc>
      </w:tr>
      <w:tr w:rsidR="00963445" w:rsidRPr="000F1664" w14:paraId="39B9EDA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2714BD0" w14:textId="5E35555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t>43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1F111D1" w14:textId="26189DA6"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G/SPS/N/UGA/183</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8455A2F" w14:textId="49125A73"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7A1C66C" w14:textId="7F7D996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445CEC3" w14:textId="0B86FBF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519EB26" w14:textId="057954FF"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DARS 1203: 2022, Đặc điểm kỹ  thuật sản phẩm trứng gà,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3B62130" w14:textId="77777777" w:rsidR="00963445" w:rsidRPr="000F1664" w:rsidRDefault="00963445" w:rsidP="008C4A9B">
            <w:pPr>
              <w:pStyle w:val="NormalWeb"/>
              <w:spacing w:before="0" w:beforeAutospacing="0" w:after="0" w:afterAutospacing="0"/>
              <w:jc w:val="both"/>
            </w:pPr>
            <w:r w:rsidRPr="000F1664">
              <w:t>Dự thảo tiêu chuẩn của Uganda quy định các yêu cầu về chất lượng và an toàn, các phương pháp lấy mẫu và thử nghiệm đối với các sản phẩm làm từ trứng thu được từ gà mái của loài Gallus gallus nhằm mục đích sử dụng trong sản xuất thực phẩm cho người.</w:t>
            </w:r>
          </w:p>
          <w:p w14:paraId="1EDA59F6" w14:textId="4D23F086" w:rsidR="00963445" w:rsidRPr="000F1664" w:rsidRDefault="00963445" w:rsidP="008C4A9B">
            <w:pPr>
              <w:pStyle w:val="NormalWeb"/>
              <w:spacing w:before="0" w:beforeAutospacing="0" w:after="0" w:afterAutospacing="0"/>
              <w:jc w:val="both"/>
            </w:pPr>
            <w:r w:rsidRPr="000F1664">
              <w:t>Lưu ý: Dự thảo Tiêu chuẩn Uganda này cũng đã được thông báo cho Ủy ban TBT.</w:t>
            </w:r>
          </w:p>
        </w:tc>
      </w:tr>
      <w:tr w:rsidR="00963445" w:rsidRPr="000F1664" w14:paraId="767BF02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789DC53" w14:textId="3F178701"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44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CDE53B1" w14:textId="04035849"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G/SPS/N/UGA/182</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83D8018" w14:textId="3948F1B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A680DE9" w14:textId="73429637"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4EA5A6B" w14:textId="2756533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D9B8C3E" w14:textId="431F47E7"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DARS 1202: 2022, Tiêu chuản bảo quản trứng có vỏ, Bản đầu tiên.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99ECE93" w14:textId="77777777" w:rsidR="00963445" w:rsidRPr="000F1664" w:rsidRDefault="00963445" w:rsidP="008C4A9B">
            <w:pPr>
              <w:pStyle w:val="NormalWeb"/>
              <w:spacing w:before="0" w:beforeAutospacing="0" w:after="0" w:afterAutospacing="0"/>
              <w:jc w:val="both"/>
            </w:pPr>
            <w:r w:rsidRPr="000F1664">
              <w:t xml:space="preserve">Dự thảo tiêu chuẩn của Uganda quy định các yêu cầu về chất lượng và an toàn, các phương pháp kiểm tra trứng gà mái còn nguyên vỏ được bảo quản có phù hợp để dùng trực tiếp cho người hay không. Tiêu chuẩn về trứng được bảo quản có vỏ này nhằm mục đích tạo điều kiện thuận lợi cho trao đổi kinh tế giữa các quốc gia và sẽ góp phần cung cấp các sản phẩm chất lượng cho người dân châu Phi. Nó sẽ góp phần bảo vệ sức khỏe </w:t>
            </w:r>
            <w:r w:rsidRPr="000F1664">
              <w:lastRenderedPageBreak/>
              <w:t>người tiêu dùng.</w:t>
            </w:r>
          </w:p>
          <w:p w14:paraId="63600A67" w14:textId="6C67A914" w:rsidR="00963445" w:rsidRPr="000F1664" w:rsidRDefault="00963445" w:rsidP="008C4A9B">
            <w:pPr>
              <w:pStyle w:val="NormalWeb"/>
              <w:spacing w:before="0" w:beforeAutospacing="0" w:after="0" w:afterAutospacing="0"/>
              <w:jc w:val="both"/>
            </w:pPr>
            <w:r w:rsidRPr="000F1664">
              <w:t>Lưu ý: Dự thảo Tiêu chuẩn Uganda này cũng đã được thông báo cho Ủy ban TBT.</w:t>
            </w:r>
          </w:p>
        </w:tc>
      </w:tr>
      <w:tr w:rsidR="00963445" w:rsidRPr="000F1664" w14:paraId="731681F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9E24E75" w14:textId="04A3052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hAnsi="Times New Roman" w:cs="Times New Roman"/>
                <w:sz w:val="24"/>
                <w:szCs w:val="24"/>
              </w:rPr>
              <w:lastRenderedPageBreak/>
              <w:t>45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BB7EC3F" w14:textId="08D2054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G/SPS/N/UGA/5/</w:t>
            </w:r>
            <w:r w:rsidRPr="000F1664">
              <w:rPr>
                <w:rFonts w:ascii="Times New Roman" w:eastAsia="Times New Roman" w:hAnsi="Times New Roman" w:cs="Times New Roman"/>
                <w:lang w:val="en-US"/>
              </w:rPr>
              <w:br/>
              <w:t>Rev.1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9EEE0AA" w14:textId="3C024377"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C2DA0F0" w14:textId="4A5E275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U-gan-đa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D840676" w14:textId="563ABAF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CF8863B" w14:textId="54C7BFCF"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DUS 1659: 2022, Vật liệu tiếp xúc với thực phẩm - Yêu cầu đối với vật liệu đóng gói, Bản thứ hai.</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893F86D" w14:textId="77777777" w:rsidR="00963445" w:rsidRPr="000F1664" w:rsidRDefault="00963445" w:rsidP="008C4A9B">
            <w:pPr>
              <w:pStyle w:val="NormalWeb"/>
              <w:spacing w:before="0" w:beforeAutospacing="0" w:after="0" w:afterAutospacing="0"/>
              <w:jc w:val="both"/>
            </w:pPr>
            <w:r w:rsidRPr="000F1664">
              <w:t>Dự thảo tiêu chuẩn của Uganda đưa ra các yêu cầu đối với các bề mặt tiếp xúc với thực phẩm bao gồm các vật liệu đóng gói và có thể tiếp xúc với thực phẩm trong các điều kiện sử dụng bình thường. "Tiêu chuẩn không bao gồm các lớp phủ hoặc lớp phủ và các chất một phần của thực phẩm và có thể được ăn cùng với nó, chẳng hạn như da xúc xích mà các tiêu chuẩn khác áp dụng.</w:t>
            </w:r>
          </w:p>
          <w:p w14:paraId="5A1502BA" w14:textId="2FAE2CC3" w:rsidR="00963445" w:rsidRPr="000F1664" w:rsidRDefault="00963445" w:rsidP="008C4A9B">
            <w:pPr>
              <w:pStyle w:val="NormalWeb"/>
              <w:spacing w:before="0" w:beforeAutospacing="0" w:after="0" w:afterAutospacing="0"/>
              <w:jc w:val="both"/>
            </w:pPr>
            <w:r w:rsidRPr="000F1664">
              <w:t>Lưu ý: Dự thảo Tiêu chuẩn Uganda này cũng đã được thông báo cho Ủy ban TBT.</w:t>
            </w:r>
          </w:p>
        </w:tc>
      </w:tr>
      <w:tr w:rsidR="00963445" w:rsidRPr="000F1664" w14:paraId="265EB782"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D5CD784" w14:textId="7D08C609"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46</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183FBBA" w14:textId="2025312F" w:rsidR="00963445" w:rsidRPr="00963445" w:rsidRDefault="00963445" w:rsidP="00AA3CAB">
            <w:pPr>
              <w:spacing w:after="0" w:line="240" w:lineRule="auto"/>
              <w:jc w:val="center"/>
              <w:rPr>
                <w:rFonts w:ascii="Times New Roman" w:eastAsia="Times New Roman" w:hAnsi="Times New Roman" w:cs="Times New Roman"/>
                <w:lang w:val="fr-FR"/>
              </w:rPr>
            </w:pPr>
            <w:r w:rsidRPr="000F1664">
              <w:rPr>
                <w:rFonts w:ascii="Times New Roman" w:eastAsia="Times New Roman" w:hAnsi="Times New Roman" w:cs="Times New Roman"/>
                <w:lang w:val="en-US"/>
              </w:rPr>
              <w:t>G/SPS/N/KGZ/26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F5CEE1A" w14:textId="24046DD1"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B274BFD" w14:textId="61E485E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Kyrgyz</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D9AFC28" w14:textId="774D9D6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28/6/2022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DC85CCD" w14:textId="75AD988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Dự thảo Quyết định của Hội đồng Ủy ban Kinh tế Á-Âu về việc phê duyệt thủ tục truy xuất nguồn gốc các sản phẩm đã qua kiểm dịch (Hàng hóa đã qua kiểm dịch; Nguyên liệu đã qua kiểm dịch) nhập khẩu vào Lãnh thổ Hải quan của EAEU và di chuyển qua Lãnh thổ Hải quan của EAEU</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A9D0F3E" w14:textId="4807E91C" w:rsidR="00963445" w:rsidRPr="000F1664" w:rsidRDefault="00963445" w:rsidP="008C4A9B">
            <w:pPr>
              <w:pStyle w:val="NormalWeb"/>
              <w:spacing w:before="0" w:beforeAutospacing="0" w:after="0" w:afterAutospacing="0"/>
              <w:jc w:val="both"/>
            </w:pPr>
            <w:r w:rsidRPr="000F1664">
              <w:t>Quy định đưa ra cách phối hợp tiếp cận để đảm bảo truy xuất nguồn gốc của các sản phẩm đã được kiểm dịch (hàng hóa, nguyên liệu) có nguy cơ cao. Dự thảo quy định áp dụng đối với các sản phẩm thuộc danh mục sản phẩm kiểm dịch thuộc diện kiểm dịch động thực vật (giám sát) tại cửa khẩu hải quan của EAEU, nhập khẩu vào lãnh thổ hải quan của EAEU và di chuyển qua lãnh thổ hải quan của EAEU, được phê duyệt bởi Quyết định của Ủy ban Liên minh Hải quan ngày 18 tháng 6 năm 2010 số 318.</w:t>
            </w:r>
          </w:p>
        </w:tc>
      </w:tr>
      <w:tr w:rsidR="00963445" w:rsidRPr="000F1664" w14:paraId="0386EF1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E69367A" w14:textId="54A23B8F"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47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AB2C4FB" w14:textId="3313BF58" w:rsidR="00963445" w:rsidRPr="00963445" w:rsidRDefault="00963445" w:rsidP="00AA3CAB">
            <w:pPr>
              <w:spacing w:after="0" w:line="240" w:lineRule="auto"/>
              <w:jc w:val="center"/>
              <w:rPr>
                <w:rFonts w:ascii="Times New Roman" w:eastAsia="Times New Roman" w:hAnsi="Times New Roman" w:cs="Times New Roman"/>
                <w:lang w:val="fr-FR"/>
              </w:rPr>
            </w:pPr>
            <w:r w:rsidRPr="000F1664">
              <w:rPr>
                <w:rFonts w:ascii="Times New Roman" w:eastAsia="Times New Roman" w:hAnsi="Times New Roman" w:cs="Times New Roman"/>
                <w:lang w:val="en-US"/>
              </w:rPr>
              <w:t>G/SPS/N/EGY/136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73B80FD" w14:textId="7C48033C"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0D03F68" w14:textId="3270E7E2"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Ai Cập</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01D35EC" w14:textId="395E3F6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28/6/2022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BAA80F8" w14:textId="3B3381B8"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Quyết định số 10 năm 2021 của Ban Giám đốc Cơ quan An toàn thực phẩm quốc gia (NFSA) về quy định công nhận Hệ thống kiểm soát do Cơ quan có thẩm quyền của nước xuất khẩu áp dụng trong bối cảnh kiểm soát thực phẩm nhập khẩu.</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791A702" w14:textId="77777777" w:rsidR="00963445" w:rsidRPr="000F1664" w:rsidRDefault="00963445" w:rsidP="008C4A9B">
            <w:pPr>
              <w:pStyle w:val="NormalWeb"/>
              <w:spacing w:before="0" w:beforeAutospacing="0" w:after="0" w:afterAutospacing="0"/>
              <w:jc w:val="both"/>
            </w:pPr>
            <w:r w:rsidRPr="000F1664">
              <w:t>Quyết định này quy định việc tiến hành đánh giá tổng thể hoặc từng phần hệ thống kiểm soát thực phẩm do Cơ quan có thẩm quyền của nước xuất khẩu (ECCA) thực hiện nhằm đánh giá hiệu quả của hệ thống trong bối cảnh ký kết các thỏa thuận tương đương hoặc công nhận lẫn nhau.</w:t>
            </w:r>
          </w:p>
          <w:p w14:paraId="0D2FF2EC" w14:textId="69C0CD84" w:rsidR="00963445" w:rsidRPr="000F1664" w:rsidRDefault="00963445" w:rsidP="008C4A9B">
            <w:pPr>
              <w:pStyle w:val="NormalWeb"/>
              <w:spacing w:before="0" w:beforeAutospacing="0" w:after="0" w:afterAutospacing="0"/>
              <w:jc w:val="both"/>
            </w:pPr>
            <w:r w:rsidRPr="000F1664">
              <w:t xml:space="preserve">Quyết định này cho phép xác minh rằng hệ thống kiểm soát thực phẩm ECCA là dựa trên cơ sở khoa học và đạt được các mục tiêu an toàn thực phẩm phù hợp với các </w:t>
            </w:r>
            <w:r w:rsidRPr="000F1664">
              <w:lastRenderedPageBreak/>
              <w:t>yêu cầu chất lượng và an toàn thực phẩm của NFSA.</w:t>
            </w:r>
          </w:p>
        </w:tc>
      </w:tr>
      <w:tr w:rsidR="00963445" w:rsidRPr="000F1664" w14:paraId="0C2294E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0B8DF16" w14:textId="6ED3B330"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48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A8E6D3D" w14:textId="2645CEA1" w:rsidR="00963445" w:rsidRPr="00963445" w:rsidRDefault="00963445" w:rsidP="00AA3CAB">
            <w:pPr>
              <w:spacing w:after="0" w:line="240" w:lineRule="auto"/>
              <w:jc w:val="center"/>
              <w:rPr>
                <w:rFonts w:ascii="Times New Roman" w:eastAsia="Times New Roman" w:hAnsi="Times New Roman" w:cs="Times New Roman"/>
                <w:lang w:val="fr-FR"/>
              </w:rPr>
            </w:pPr>
            <w:r w:rsidRPr="000F1664">
              <w:rPr>
                <w:rFonts w:ascii="Times New Roman" w:eastAsia="Times New Roman" w:hAnsi="Times New Roman" w:cs="Times New Roman"/>
                <w:lang w:val="en-US"/>
              </w:rPr>
              <w:t>G/SPS/N/EGY/135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501A5FB" w14:textId="37C34F27"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B4992CE" w14:textId="1FE1C71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Ai Cập</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091D628" w14:textId="67F16F88"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28/6/2022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5D196E5" w14:textId="13E91BFB"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Quyết định của Cơ quan An toàn thực phẩm quốc gia (NFSA) số 9/2021 về việc xử lý các lô hàng thực phẩm nhập khẩu thuộc diện tạm nhập</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5AF77A4" w14:textId="77777777" w:rsidR="00963445" w:rsidRPr="000F1664" w:rsidRDefault="00963445" w:rsidP="008C4A9B">
            <w:pPr>
              <w:pStyle w:val="NormalWeb"/>
              <w:spacing w:before="0" w:beforeAutospacing="0" w:after="0" w:afterAutospacing="0"/>
              <w:jc w:val="both"/>
            </w:pPr>
            <w:r w:rsidRPr="000F1664">
              <w:t>Quyết định này quy định đối với lô hàng thực phẩm nhập khẩu thuộc diện tạm nhập và tổ chức thực hiện như sau:</w:t>
            </w:r>
          </w:p>
          <w:p w14:paraId="478DB5C1" w14:textId="77777777" w:rsidR="00963445" w:rsidRPr="000F1664" w:rsidRDefault="00963445" w:rsidP="008C4A9B">
            <w:pPr>
              <w:pStyle w:val="NormalWeb"/>
              <w:spacing w:before="0" w:beforeAutospacing="0" w:after="0" w:afterAutospacing="0"/>
              <w:jc w:val="both"/>
            </w:pPr>
            <w:r w:rsidRPr="000F1664">
              <w:t>1. Nghĩa vụ và trách nhiệm của người nhập khẩu và Cơ quan quản lý quốc gia về an toàn thực phẩm;</w:t>
            </w:r>
          </w:p>
          <w:p w14:paraId="22828B86" w14:textId="77777777" w:rsidR="00963445" w:rsidRPr="000F1664" w:rsidRDefault="00963445" w:rsidP="008C4A9B">
            <w:pPr>
              <w:pStyle w:val="NormalWeb"/>
              <w:spacing w:before="0" w:beforeAutospacing="0" w:after="0" w:afterAutospacing="0"/>
              <w:jc w:val="both"/>
            </w:pPr>
            <w:r w:rsidRPr="000F1664">
              <w:t>2. Thủ tục xuất khẩu tạm thời;</w:t>
            </w:r>
          </w:p>
          <w:p w14:paraId="052F686D" w14:textId="77777777" w:rsidR="00963445" w:rsidRPr="000F1664" w:rsidRDefault="00963445" w:rsidP="008C4A9B">
            <w:pPr>
              <w:pStyle w:val="NormalWeb"/>
              <w:spacing w:before="0" w:beforeAutospacing="0" w:after="0" w:afterAutospacing="0"/>
              <w:jc w:val="both"/>
            </w:pPr>
            <w:r w:rsidRPr="000F1664">
              <w:t>3. Xử lý vi phạm đối với lô hàng thực phẩm nhập khẩu;</w:t>
            </w:r>
          </w:p>
          <w:p w14:paraId="06C5E1C9" w14:textId="77777777" w:rsidR="00963445" w:rsidRPr="000F1664" w:rsidRDefault="00963445" w:rsidP="008C4A9B">
            <w:pPr>
              <w:pStyle w:val="NormalWeb"/>
              <w:spacing w:before="0" w:beforeAutospacing="0" w:after="0" w:afterAutospacing="0"/>
              <w:jc w:val="both"/>
            </w:pPr>
            <w:r w:rsidRPr="000F1664">
              <w:t>4. Đình chỉ hoặc huỷ bỏ việc cấp phép nhập khẩu thực phẩm;</w:t>
            </w:r>
          </w:p>
          <w:p w14:paraId="1335A5B4" w14:textId="70739ABB" w:rsidR="00963445" w:rsidRPr="000F1664" w:rsidRDefault="00963445" w:rsidP="008C4A9B">
            <w:pPr>
              <w:pStyle w:val="NormalWeb"/>
              <w:spacing w:before="0" w:beforeAutospacing="0" w:after="0" w:afterAutospacing="0"/>
              <w:jc w:val="both"/>
            </w:pPr>
            <w:r w:rsidRPr="000F1664">
              <w:t>5. Giảm thời gian giải phóng lô hàng thực phẩm nhập khẩu theo quy định tạm nhập để tạo thuận lợi cho thương mại.</w:t>
            </w:r>
          </w:p>
        </w:tc>
      </w:tr>
      <w:tr w:rsidR="00963445" w:rsidRPr="000F1664" w14:paraId="58D5207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3C56B63" w14:textId="4A8E3B43"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49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5B62ED7" w14:textId="19840631" w:rsidR="00963445" w:rsidRPr="00963445"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G/SPS/N/KOR/622/</w:t>
            </w:r>
            <w:r w:rsidRPr="000F1664">
              <w:rPr>
                <w:rFonts w:ascii="Times New Roman" w:eastAsia="Times New Roman" w:hAnsi="Times New Roman" w:cs="Times New Roman"/>
                <w:lang w:val="en-US"/>
              </w:rPr>
              <w:br/>
              <w:t>Add.3</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92FC34C" w14:textId="6706BFBB" w:rsidR="00963445" w:rsidRPr="000F1664" w:rsidRDefault="00963445" w:rsidP="00AA3CAB">
            <w:pPr>
              <w:spacing w:after="0" w:line="240" w:lineRule="auto"/>
              <w:jc w:val="center"/>
              <w:rPr>
                <w:rFonts w:ascii="Times New Roman" w:eastAsia="Times New Roman" w:hAnsi="Times New Roman" w:cs="Times New Roman"/>
                <w:lang w:val="en-US"/>
              </w:rPr>
            </w:pPr>
            <w:r w:rsidRPr="000F1664">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864289B" w14:textId="6AD9B2A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Hàn Quốc</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5768EA9" w14:textId="35AD214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27/6/2022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04BC6C1" w14:textId="586986A5"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0F1664">
              <w:rPr>
                <w:rFonts w:ascii="Times New Roman" w:eastAsia="Times New Roman" w:hAnsi="Times New Roman" w:cs="Times New Roman"/>
                <w:sz w:val="24"/>
                <w:szCs w:val="24"/>
                <w:lang w:val="en-US"/>
              </w:rPr>
              <w:t>Bổ sung vật chủ bị cấm của Xylella fasrantyosa</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8B34418" w14:textId="77777777" w:rsidR="00963445" w:rsidRPr="000F1664" w:rsidRDefault="00963445" w:rsidP="008C4A9B">
            <w:pPr>
              <w:pStyle w:val="NormalWeb"/>
              <w:spacing w:before="0" w:beforeAutospacing="0" w:after="0" w:afterAutospacing="0"/>
              <w:jc w:val="both"/>
            </w:pPr>
            <w:r w:rsidRPr="000F1664">
              <w:t xml:space="preserve">Cơ quan Kiểm dịch Động thực vật (APQA), Bộ Nông nghiệp, Thực phẩm và Nông thôn (MAFRA) tại Hàn Quốc, vừa bổ sung một cây ký chủ (hạt </w:t>
            </w:r>
            <w:r w:rsidRPr="00963445">
              <w:rPr>
                <w:i/>
                <w:iCs/>
              </w:rPr>
              <w:t>Carya illinoinensis</w:t>
            </w:r>
            <w:r w:rsidRPr="000F1664">
              <w:t xml:space="preserve"> để gieo hạt) của </w:t>
            </w:r>
            <w:r w:rsidRPr="00963445">
              <w:rPr>
                <w:i/>
                <w:iCs/>
              </w:rPr>
              <w:t>Xylella fasrantyosa</w:t>
            </w:r>
            <w:r w:rsidRPr="000F1664">
              <w:t>, một trong những loài gây hại bị cấm kiểm dịch của Hàn Quốc, dựa trên kết quả của phân tích rủi ro dịch hại (PRA).</w:t>
            </w:r>
          </w:p>
          <w:p w14:paraId="7048322B" w14:textId="77777777" w:rsidR="00963445" w:rsidRPr="000F1664" w:rsidRDefault="00963445" w:rsidP="008C4A9B">
            <w:pPr>
              <w:pStyle w:val="NormalWeb"/>
              <w:spacing w:before="0" w:beforeAutospacing="0" w:after="0" w:afterAutospacing="0"/>
              <w:jc w:val="both"/>
            </w:pPr>
            <w:r w:rsidRPr="000F1664">
              <w:t xml:space="preserve">Việc nhập khẩu các bộ phận liên quan của cây ký chủ và các vật truyền bệnh liên quan đến </w:t>
            </w:r>
            <w:r w:rsidRPr="00963445">
              <w:rPr>
                <w:i/>
                <w:iCs/>
              </w:rPr>
              <w:t>Xylella fasrantyosa</w:t>
            </w:r>
            <w:r w:rsidRPr="000F1664">
              <w:t xml:space="preserve"> từ các khu vực sẽ bị cấm đối với các lô hàng có giấy chứng nhận Kiểm dịch thực vật, được vận chuyển vào và sau ngày 28 tháng 6 năm 2022.</w:t>
            </w:r>
          </w:p>
          <w:p w14:paraId="1CB99994" w14:textId="77777777" w:rsidR="00963445" w:rsidRPr="000F1664" w:rsidRDefault="00963445" w:rsidP="008C4A9B">
            <w:pPr>
              <w:pStyle w:val="NormalWeb"/>
              <w:spacing w:before="0" w:beforeAutospacing="0" w:after="0" w:afterAutospacing="0"/>
              <w:jc w:val="both"/>
            </w:pPr>
            <w:r w:rsidRPr="000F1664">
              <w:t xml:space="preserve">Vui lòng xem tài liệu đính kèm để biết thêm chi tiết về cây ký chủ, các </w:t>
            </w:r>
            <w:r w:rsidRPr="00963445">
              <w:t>sinh vật lây bệnh</w:t>
            </w:r>
            <w:r w:rsidRPr="000F1664">
              <w:t xml:space="preserve"> và khu vực phân bố.</w:t>
            </w:r>
          </w:p>
          <w:p w14:paraId="17458348" w14:textId="77777777" w:rsidR="00963445" w:rsidRPr="000F1664" w:rsidRDefault="00963445" w:rsidP="008C4A9B">
            <w:pPr>
              <w:pStyle w:val="NormalWeb"/>
              <w:spacing w:before="0" w:beforeAutospacing="0" w:after="0" w:afterAutospacing="0"/>
              <w:jc w:val="both"/>
            </w:pPr>
            <w:r w:rsidRPr="000F1664">
              <w:t>https://members.wto.org/crnattachments/2022/SPS/KOR/22_4306_00_e.pdf</w:t>
            </w:r>
          </w:p>
          <w:p w14:paraId="406E0C28" w14:textId="60CA23B1" w:rsidR="00963445" w:rsidRPr="000F1664" w:rsidRDefault="00963445" w:rsidP="008C4A9B">
            <w:pPr>
              <w:pStyle w:val="NormalWeb"/>
              <w:spacing w:before="0" w:beforeAutospacing="0" w:after="0" w:afterAutospacing="0"/>
              <w:jc w:val="both"/>
            </w:pPr>
            <w:r w:rsidRPr="000F1664">
              <w:t>Nội dung chính của phụ lục: Bổ sung các vật chủ bị cấm.</w:t>
            </w:r>
          </w:p>
        </w:tc>
      </w:tr>
      <w:tr w:rsidR="00963445" w:rsidRPr="000F1664" w14:paraId="08B35C3C"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CA715D4" w14:textId="4D8458DF"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50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34A5497" w14:textId="29E17E18" w:rsidR="00963445" w:rsidRPr="00963445" w:rsidRDefault="00963445" w:rsidP="00AA3CAB">
            <w:pPr>
              <w:spacing w:after="0" w:line="240" w:lineRule="auto"/>
              <w:jc w:val="center"/>
              <w:rPr>
                <w:rFonts w:ascii="Times New Roman" w:eastAsia="Times New Roman" w:hAnsi="Times New Roman" w:cs="Times New Roman"/>
                <w:lang w:val="fr-FR"/>
              </w:rPr>
            </w:pPr>
            <w:r w:rsidRPr="00963445">
              <w:rPr>
                <w:rFonts w:ascii="Times New Roman" w:eastAsia="Times New Roman" w:hAnsi="Times New Roman" w:cs="Times New Roman"/>
                <w:lang w:val="en-US"/>
              </w:rPr>
              <w:t>G/SPS/N/JPN/1056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59BC78C" w14:textId="3D256E20"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4432385" w14:textId="43C78B1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Nhật Bản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EB6981C" w14:textId="39CCDBA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27/6/2022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DF62824" w14:textId="369C698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Biện pháp khẩn cấp để ngăn chặn virus hại quả cà chua nâu (ToBRFV) xâm nhập vào Nhật Bản thông qua nhập khẩu hạt ký chủ của ToBRFV.</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041F6C9" w14:textId="77777777" w:rsidR="00963445" w:rsidRPr="00963445" w:rsidRDefault="00963445" w:rsidP="008C4A9B">
            <w:pPr>
              <w:pStyle w:val="NormalWeb"/>
              <w:spacing w:before="0" w:beforeAutospacing="0" w:after="0" w:afterAutospacing="0"/>
              <w:jc w:val="both"/>
            </w:pPr>
            <w:r w:rsidRPr="00963445">
              <w:t>Để ngăn chặn ToBRFV xâm nhập vào Nhật Bản, Bộ Nông nghiệp, Lâm nghiệp và Thủy sản Nhật Bản (MAFF) áp dụng biện pháp khẩn cấp đối với các loại hạt giống được liệt kê trong mục 3. Biện pháp này bao gồm ba thay đổi được nhấn mạnh so với biện pháp hiện tại như được cung cấp trong Mục 36 của bảng phụ lục 2-2 của Sắc lệnh thực thi Đạo luật Bảo vệ thực vật và chi tiết các yêu cầu đối với ToBRFV:</w:t>
            </w:r>
          </w:p>
          <w:p w14:paraId="7DA533B7" w14:textId="77777777" w:rsidR="00963445" w:rsidRPr="00963445" w:rsidRDefault="00963445" w:rsidP="008C4A9B">
            <w:pPr>
              <w:pStyle w:val="NormalWeb"/>
              <w:spacing w:before="0" w:beforeAutospacing="0" w:after="0" w:afterAutospacing="0"/>
              <w:jc w:val="both"/>
            </w:pPr>
            <w:r w:rsidRPr="00963445">
              <w:t>A. Biện pháp hiện tại</w:t>
            </w:r>
          </w:p>
          <w:p w14:paraId="45BDE440" w14:textId="77777777" w:rsidR="00963445" w:rsidRPr="00963445" w:rsidRDefault="00963445" w:rsidP="008C4A9B">
            <w:pPr>
              <w:pStyle w:val="NormalWeb"/>
              <w:spacing w:before="0" w:beforeAutospacing="0" w:after="0" w:afterAutospacing="0"/>
              <w:jc w:val="both"/>
            </w:pPr>
            <w:r w:rsidRPr="00963445">
              <w:t>Đối với hạt giống:</w:t>
            </w:r>
          </w:p>
          <w:p w14:paraId="20EA3B5A" w14:textId="77777777" w:rsidR="00963445" w:rsidRPr="00963445" w:rsidRDefault="00963445" w:rsidP="008C4A9B">
            <w:pPr>
              <w:pStyle w:val="NormalWeb"/>
              <w:spacing w:before="0" w:beforeAutospacing="0" w:after="0" w:afterAutospacing="0"/>
              <w:jc w:val="both"/>
            </w:pPr>
            <w:r w:rsidRPr="00963445">
              <w:t>i. Các mẫu được lấy ngẫu nhiên từ cây bố mẹ và những cây có biểu hiện nghi ngờ được kiểm tra trong thời kỳ thu hoạch bằng phương pháp di truyền thích hợp như xét nghiệm RT-PCR và được phát hiện không nhiễm virus hại quả cà chua nâu; hoặc</w:t>
            </w:r>
          </w:p>
          <w:p w14:paraId="54F3A5D7" w14:textId="77777777" w:rsidR="00963445" w:rsidRPr="00963445" w:rsidRDefault="00963445" w:rsidP="008C4A9B">
            <w:pPr>
              <w:pStyle w:val="NormalWeb"/>
              <w:spacing w:before="0" w:beforeAutospacing="0" w:after="0" w:afterAutospacing="0"/>
              <w:jc w:val="both"/>
            </w:pPr>
            <w:r w:rsidRPr="00963445">
              <w:t>ii. Hạt giống được kiểm tra trước khi xuất khẩu bằng phương pháp di truyền thích hợp như xét nghiệm RT-PCR và không nhiễm virus hại quả cà chua nâu; 4.600 hạt giống được lấy ngẫu nhiên từ một lô làm mẫu theo quy trình của Hiệp hội Kiểm nghiệm Hạt giống Quốc tế (ISTA); hoặc trường hợp số lượng hạt của lô ít hơn 46.000 hạt thì lấy 10% số hạt để khảo nghiệm; chúng được chia thành nhiều nhất 400 hạt làm các mẫu phụ.</w:t>
            </w:r>
          </w:p>
          <w:p w14:paraId="222E0126" w14:textId="77777777" w:rsidR="00963445" w:rsidRPr="00963445" w:rsidRDefault="00963445" w:rsidP="008C4A9B">
            <w:pPr>
              <w:pStyle w:val="NormalWeb"/>
              <w:spacing w:before="0" w:beforeAutospacing="0" w:after="0" w:afterAutospacing="0"/>
              <w:jc w:val="both"/>
            </w:pPr>
            <w:r w:rsidRPr="00963445">
              <w:t>Ngoài ra, Tổ chức Bảo vệ Thực vật Quốc gia (NPPO) của nước xuất khẩu sẽ phải khai báo như thông tin dưới đây trong cột khai báo bổ sung giấy chứng nhận kiểm dịch thực vật.</w:t>
            </w:r>
          </w:p>
          <w:p w14:paraId="59EED2B0" w14:textId="77777777" w:rsidR="00963445" w:rsidRPr="00963445" w:rsidRDefault="00963445" w:rsidP="008C4A9B">
            <w:pPr>
              <w:pStyle w:val="NormalWeb"/>
              <w:spacing w:before="0" w:beforeAutospacing="0" w:after="0" w:afterAutospacing="0"/>
              <w:jc w:val="both"/>
            </w:pPr>
            <w:r w:rsidRPr="00963445">
              <w:t>"Thực hiện mục 36 của Bảng phụ lục 2-2 của Sắc lệnh Thực thi Đạo luật Bảo vệ Thực vật (Sắc lệnh MAF số 73/1950)</w:t>
            </w:r>
          </w:p>
          <w:p w14:paraId="3A159982" w14:textId="77777777" w:rsidR="00963445" w:rsidRPr="00963445" w:rsidRDefault="00963445" w:rsidP="008C4A9B">
            <w:pPr>
              <w:pStyle w:val="NormalWeb"/>
              <w:spacing w:before="0" w:beforeAutospacing="0" w:after="0" w:afterAutospacing="0"/>
              <w:jc w:val="both"/>
            </w:pPr>
            <w:r w:rsidRPr="00963445">
              <w:t>B. Biện pháp khẩn cấp</w:t>
            </w:r>
          </w:p>
          <w:p w14:paraId="69AED575" w14:textId="77777777" w:rsidR="00963445" w:rsidRPr="00963445" w:rsidRDefault="00963445" w:rsidP="008C4A9B">
            <w:pPr>
              <w:pStyle w:val="NormalWeb"/>
              <w:spacing w:before="0" w:beforeAutospacing="0" w:after="0" w:afterAutospacing="0"/>
              <w:jc w:val="both"/>
            </w:pPr>
            <w:r w:rsidRPr="00963445">
              <w:t>Đối với hạt giống:</w:t>
            </w:r>
          </w:p>
          <w:p w14:paraId="733FE369" w14:textId="77777777" w:rsidR="00963445" w:rsidRPr="00963445" w:rsidRDefault="00963445" w:rsidP="008C4A9B">
            <w:pPr>
              <w:pStyle w:val="NormalWeb"/>
              <w:spacing w:before="0" w:beforeAutospacing="0" w:after="0" w:afterAutospacing="0"/>
              <w:jc w:val="both"/>
            </w:pPr>
            <w:r w:rsidRPr="00963445">
              <w:lastRenderedPageBreak/>
              <w:t>i. Các mẫu được lấy ngẫu nhiên từ cây bố mẹ và những cây có biểu hiện nghi ngờ được kiểm tra trong thời kỳ thu hoạch bằng phương pháp di truyền thích hợp như xét nghiệm RT-PCR và được phát hiện không nhiễm virus hại quả cà chua nâu; hoặc</w:t>
            </w:r>
          </w:p>
          <w:p w14:paraId="75042149" w14:textId="77777777" w:rsidR="00963445" w:rsidRPr="00963445" w:rsidRDefault="00963445" w:rsidP="008C4A9B">
            <w:pPr>
              <w:pStyle w:val="NormalWeb"/>
              <w:spacing w:before="0" w:beforeAutospacing="0" w:after="0" w:afterAutospacing="0"/>
              <w:jc w:val="both"/>
            </w:pPr>
            <w:r w:rsidRPr="00963445">
              <w:t>ii. Hạt giống được kiểm tra trước khi xuất khẩu bằng xét nghiệm RT-PCR thời gian thực sử dụng phương pháp như được mô tả trong quy trình của Liên đoàn Hạt giống Quốc tế (ISF) (2020) và không nhiễm virus hại quả cà chua nâu; 4.600 hạt giống được lấy ngẫu nhiên từ một lô làm mẫu theo quy trình của Hiệp hội Kiểm nghiệm Hạt giống Quốc tế (ISTA); hoặc trường hợp số lượng hạt của lô ít hơn 46.000 hạt thì lấy 10% số hạt để khảo nghiệm; chúng được chia thành nhiều nhất 400 hạt làm mẫu phụ.</w:t>
            </w:r>
          </w:p>
          <w:p w14:paraId="3A7DEE52" w14:textId="77777777" w:rsidR="00963445" w:rsidRPr="00963445" w:rsidRDefault="00963445" w:rsidP="008C4A9B">
            <w:pPr>
              <w:pStyle w:val="NormalWeb"/>
              <w:spacing w:before="0" w:beforeAutospacing="0" w:after="0" w:afterAutospacing="0"/>
              <w:jc w:val="both"/>
            </w:pPr>
            <w:r w:rsidRPr="00963445">
              <w:t>Ngoài ra, NPPO sẽ phải khai báo như bên dưới trong cột khai báo bổ sung giấy chứng nhận KDTV.</w:t>
            </w:r>
          </w:p>
          <w:p w14:paraId="0C2CA2EC" w14:textId="77777777" w:rsidR="00963445" w:rsidRPr="00963445" w:rsidRDefault="00963445" w:rsidP="008C4A9B">
            <w:pPr>
              <w:pStyle w:val="NormalWeb"/>
              <w:spacing w:before="0" w:beforeAutospacing="0" w:after="0" w:afterAutospacing="0"/>
              <w:jc w:val="both"/>
            </w:pPr>
            <w:r w:rsidRPr="00963445">
              <w:t>i. "Thực hiện mục 36 (Phương pháp di truyền thích hợp cho cây bố mẹ) của Phụ lục 2-2 của Sắc lệnh Thực thi Đạo luật Bảo vệ Thực vật (Sắc lệnh MAF số 73/1950)"</w:t>
            </w:r>
          </w:p>
          <w:p w14:paraId="4B514AE7" w14:textId="2772F720" w:rsidR="00963445" w:rsidRPr="000F1664" w:rsidRDefault="00963445" w:rsidP="008C4A9B">
            <w:pPr>
              <w:pStyle w:val="NormalWeb"/>
              <w:spacing w:before="0" w:beforeAutospacing="0" w:after="0" w:afterAutospacing="0"/>
              <w:jc w:val="both"/>
            </w:pPr>
            <w:r w:rsidRPr="00963445">
              <w:t>ii. "Thực hiện mục 36 (RT-PCR thời gian thực cho hạt giống) của Bảng phụ lục 2-2 của Sắc lệnh Thực thi Đạo luật Bảo vệ Thực vật (Sắc lệnh MAF số 73/1950)"</w:t>
            </w:r>
          </w:p>
        </w:tc>
      </w:tr>
      <w:tr w:rsidR="00963445" w:rsidRPr="000F1664" w14:paraId="10FD86C3"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98B3FA8" w14:textId="6952538D"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51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3E614E1" w14:textId="2FBBDCE4"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G/SPS/N/GBR/18</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CBBE697" w14:textId="416EDEF5"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ATTP, BVTV,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F89E315" w14:textId="3150475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Vương quốc Anh</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7D96743" w14:textId="5D09F647"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27/6/2022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A5B2585" w14:textId="63BF4416"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 xml:space="preserve">Đề xuất giới hạn dư lượng tối đa (MRLs) choethoprophos, fenamidone, methiocarb, propiconazole và pymetrozine theo qui định đăng ký MRL của Vương quốc Anh </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B18ED53" w14:textId="77777777" w:rsidR="00963445" w:rsidRPr="00963445" w:rsidRDefault="00963445" w:rsidP="008C4A9B">
            <w:pPr>
              <w:pStyle w:val="NormalWeb"/>
              <w:spacing w:before="0" w:beforeAutospacing="0" w:after="0" w:afterAutospacing="0"/>
              <w:jc w:val="both"/>
            </w:pPr>
            <w:r w:rsidRPr="00963445">
              <w:t>Tài liệu dự thảo ban đầu mức giới hạn MRL đề xuất đối với ethoprophos, fenamidone, methiocarb, propiconazole và pymetrozine sau khi Cơ quan an toàn và y tế xem xét các MRL có liên quan. Dự thảo quy định MRLs có sẵn tại các đường dẫn sau:</w:t>
            </w:r>
          </w:p>
          <w:p w14:paraId="26554F10" w14:textId="77777777" w:rsidR="00963445" w:rsidRPr="00963445" w:rsidRDefault="00963445" w:rsidP="008C4A9B">
            <w:pPr>
              <w:pStyle w:val="NormalWeb"/>
              <w:spacing w:before="0" w:beforeAutospacing="0" w:after="0" w:afterAutospacing="0"/>
              <w:jc w:val="both"/>
            </w:pPr>
            <w:r w:rsidRPr="00963445">
              <w:t>Xem xét lại mức MRL cho ethoprophos - MRL đề xuất (hse.gov.uk)</w:t>
            </w:r>
          </w:p>
          <w:p w14:paraId="31C6DE59" w14:textId="77777777" w:rsidR="00963445" w:rsidRPr="00963445" w:rsidRDefault="00963445" w:rsidP="008C4A9B">
            <w:pPr>
              <w:pStyle w:val="NormalWeb"/>
              <w:spacing w:before="0" w:beforeAutospacing="0" w:after="0" w:afterAutospacing="0"/>
              <w:jc w:val="both"/>
            </w:pPr>
            <w:r w:rsidRPr="00963445">
              <w:t>Xem xét lại mức MRLs cho fenamidone - MRL đề xuất (hse.gov.uk)</w:t>
            </w:r>
          </w:p>
          <w:p w14:paraId="354CC563" w14:textId="77777777" w:rsidR="00963445" w:rsidRPr="00963445" w:rsidRDefault="00963445" w:rsidP="008C4A9B">
            <w:pPr>
              <w:pStyle w:val="NormalWeb"/>
              <w:spacing w:before="0" w:beforeAutospacing="0" w:after="0" w:afterAutospacing="0"/>
              <w:jc w:val="both"/>
            </w:pPr>
            <w:r w:rsidRPr="00963445">
              <w:lastRenderedPageBreak/>
              <w:t>Xem xét lại mức MRL cho methiocarb - MRL đề xuất (hse.gov.uk)</w:t>
            </w:r>
          </w:p>
          <w:p w14:paraId="5D3D44A0" w14:textId="77777777" w:rsidR="00963445" w:rsidRPr="00963445" w:rsidRDefault="00963445" w:rsidP="008C4A9B">
            <w:pPr>
              <w:pStyle w:val="NormalWeb"/>
              <w:spacing w:before="0" w:beforeAutospacing="0" w:after="0" w:afterAutospacing="0"/>
              <w:jc w:val="both"/>
            </w:pPr>
            <w:r w:rsidRPr="00963445">
              <w:t>Xem xét lại mức MRLs cho propiconazole - MRL đề xuất (hse.gov.uk)</w:t>
            </w:r>
          </w:p>
          <w:p w14:paraId="127E89EA" w14:textId="77777777" w:rsidR="00963445" w:rsidRPr="00963445" w:rsidRDefault="00963445" w:rsidP="008C4A9B">
            <w:pPr>
              <w:pStyle w:val="NormalWeb"/>
              <w:spacing w:before="0" w:beforeAutospacing="0" w:after="0" w:afterAutospacing="0"/>
              <w:jc w:val="both"/>
            </w:pPr>
            <w:r w:rsidRPr="00963445">
              <w:t>Xem xét lại mức MRLs cho pymetrozine - MRL đề xuất (hse.gov.uk)</w:t>
            </w:r>
          </w:p>
          <w:p w14:paraId="095EB2C9" w14:textId="1B7D9D0B" w:rsidR="00963445" w:rsidRPr="000F1664" w:rsidRDefault="00963445" w:rsidP="008C4A9B">
            <w:pPr>
              <w:pStyle w:val="NormalWeb"/>
              <w:spacing w:before="0" w:beforeAutospacing="0" w:after="0" w:afterAutospacing="0"/>
              <w:jc w:val="both"/>
            </w:pPr>
            <w:r w:rsidRPr="00963445">
              <w:t>Tất cả các mức giới hạn MRL đang được hạ xuống dưới mức giới hạn định lượng, do rủi ro có hại đến sức khỏe con người (tức là mức MRL chưa đảm bảo bảo vệ sức khỏe người sử dụngở mức thích hợp).</w:t>
            </w:r>
          </w:p>
        </w:tc>
      </w:tr>
      <w:tr w:rsidR="00963445" w:rsidRPr="000F1664" w14:paraId="315F3299"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2288459" w14:textId="165C41AF"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52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927B417" w14:textId="073400B3"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G/SPS/N/CHE/87/</w:t>
            </w:r>
            <w:r w:rsidRPr="00963445">
              <w:rPr>
                <w:rFonts w:ascii="Times New Roman" w:eastAsia="Times New Roman" w:hAnsi="Times New Roman" w:cs="Times New Roman"/>
                <w:lang w:val="en-US"/>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334BA9C" w14:textId="639E043D"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CN,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8E7CDDD" w14:textId="145E1DAC"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Thụy Sỹ</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FD14CEF" w14:textId="4AD124A4"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27/6/2022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B8148C3" w14:textId="099B214D"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Sửa đổi Phụ lục 2 của Sắc lệnh ngày 26 tháng 10 năm 2011 về sản xuất và tiếp thị thức ăn chăn nuôi, phụ gia thức ăn chăn nuôi và thức ăn gia súc (FADO)</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0153D91" w14:textId="77777777" w:rsidR="00963445" w:rsidRPr="00963445" w:rsidRDefault="00963445" w:rsidP="008C4A9B">
            <w:pPr>
              <w:pStyle w:val="NormalWeb"/>
              <w:spacing w:before="0" w:beforeAutospacing="0" w:after="0" w:afterAutospacing="0"/>
              <w:jc w:val="both"/>
            </w:pPr>
            <w:r w:rsidRPr="00963445">
              <w:t>Bản sửa đổi bao gồm 28 lần gia hạn cấp phép đối với phụ gia thức ăn chăn nuôi, một lần cấp phép mới của cơ quan quản lý độ axit, bảy lần cấp phép mới cho các chất phụ gia ủ chua, bảy lần cấp phép mới cho các hợp chất tạo hương, một lần cấp phép mới cho một axit amin và sáu lần rút lại giấy phép.</w:t>
            </w:r>
          </w:p>
          <w:p w14:paraId="09E7B786" w14:textId="77777777" w:rsidR="00963445" w:rsidRPr="00963445" w:rsidRDefault="00963445" w:rsidP="008C4A9B">
            <w:pPr>
              <w:pStyle w:val="NormalWeb"/>
              <w:spacing w:before="0" w:beforeAutospacing="0" w:after="0" w:afterAutospacing="0"/>
              <w:jc w:val="both"/>
            </w:pPr>
            <w:r w:rsidRPr="00963445">
              <w:t>https://members.wto.org/crnattachments/2022/SPS/CHE/22_4310_00_f.pdf</w:t>
            </w:r>
          </w:p>
          <w:p w14:paraId="3A0A1F4A" w14:textId="19784CF9" w:rsidR="00963445" w:rsidRPr="000F1664" w:rsidRDefault="00963445" w:rsidP="008C4A9B">
            <w:pPr>
              <w:pStyle w:val="NormalWeb"/>
              <w:spacing w:before="0" w:beforeAutospacing="0" w:after="0" w:afterAutospacing="0"/>
              <w:jc w:val="both"/>
            </w:pPr>
            <w:r w:rsidRPr="00963445">
              <w:t>Nội dung chính của phụ lục: Việc cấp phép phụ gia thức ăn chăn nuôi mới và gia hạn thường xảy ra hai lần một năm.</w:t>
            </w:r>
          </w:p>
        </w:tc>
      </w:tr>
      <w:tr w:rsidR="00963445" w:rsidRPr="000F1664" w14:paraId="436DECE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269EA92" w14:textId="6C509AE8"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53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C24F3D2" w14:textId="6FB5FEF4"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G/SPS/N/TPKM/587</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0AA89C5" w14:textId="6BD66FC4"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ATTP, BVTV,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974132C" w14:textId="09DD1049"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 xml:space="preserve">Đài </w:t>
            </w:r>
            <w:r w:rsidR="00830A8E">
              <w:rPr>
                <w:rFonts w:ascii="Times New Roman" w:eastAsia="Times New Roman" w:hAnsi="Times New Roman" w:cs="Times New Roman"/>
                <w:sz w:val="24"/>
                <w:szCs w:val="24"/>
                <w:lang w:val="en-US"/>
              </w:rPr>
              <w:t>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5105934" w14:textId="76F6033E"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F3AC7AD" w14:textId="0615A8E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Dự thảo tiêu chuẩn về giới hạn dư lượng thuốc trừ sâu trong thực phẩm và dự thảo tiêu chuẩn về giới hạn dư lượng thuốc trừ sâu trong sản phẩm động vật</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A2506A5" w14:textId="77777777" w:rsidR="00963445" w:rsidRPr="00963445" w:rsidRDefault="00963445" w:rsidP="008C4A9B">
            <w:pPr>
              <w:pStyle w:val="NormalWeb"/>
              <w:spacing w:before="0" w:beforeAutospacing="0" w:after="0" w:afterAutospacing="0"/>
              <w:jc w:val="both"/>
            </w:pPr>
            <w:r w:rsidRPr="00963445">
              <w:t xml:space="preserve">1. Sửa đổi MRLs thuốc trừ sâu của acequinocyl, azoxystrobin, cyprodinil, famoxadone, flonicamid, flubendiamide,fFludioxonil, kresoxim-methyl, mandipropamid, penflufen, propiconazole, pydiflumetofen, pyrifluaconazor-etylic cho rau quả, ngũ cốc, sulfoxB-ethyl cho trái cây tetraconazole, SulfoxB-ethyl cho rau ngũ cốc và hạt ca cao. Thu hồi MRLs của các thuốc trừ sâu của acephate, demeton-s-methyl, dicofol, maleic hydrazide, MALS, methamidophos, monocrotophos, MSMA, paraquat, prothiofos trong trái </w:t>
            </w:r>
            <w:r w:rsidRPr="00963445">
              <w:lastRenderedPageBreak/>
              <w:t>cây, rau, đậu và gạo;</w:t>
            </w:r>
          </w:p>
          <w:p w14:paraId="5F4A60BC" w14:textId="497C9340" w:rsidR="00963445" w:rsidRPr="000F1664" w:rsidRDefault="00963445" w:rsidP="008C4A9B">
            <w:pPr>
              <w:pStyle w:val="NormalWeb"/>
              <w:spacing w:before="0" w:beforeAutospacing="0" w:after="0" w:afterAutospacing="0"/>
              <w:jc w:val="both"/>
            </w:pPr>
            <w:r w:rsidRPr="00963445">
              <w:t>2. Thu hồi MRLs thuốc trừ sâu chlorpyrifos dùng cho mô, trứng, sữa gia súc, gia cầm.</w:t>
            </w:r>
          </w:p>
        </w:tc>
      </w:tr>
      <w:tr w:rsidR="00963445" w:rsidRPr="000F1664" w14:paraId="2F28B58E"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E86108E" w14:textId="6B53A94B"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54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B2552BF" w14:textId="1E118E32"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G/SPS/N/CAN/1444</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1E44F84" w14:textId="767EF7CE"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ATTP, TC</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ECB449B" w14:textId="0A547848"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Ca-na-đa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713DD5A" w14:textId="6E2050CD"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01FA707" w14:textId="75E4D357"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Thông báo về việc sửa đổi danh sách các chất tạo nhũ, tạo keo, ổn định hoặc làm đặc được phép sử dụng để mở rộng việc sử dụng gellan gum để làm đồ uống làm trắng.</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A9952B7" w14:textId="77777777" w:rsidR="00963445" w:rsidRPr="00963445" w:rsidRDefault="00963445" w:rsidP="008C4A9B">
            <w:pPr>
              <w:pStyle w:val="NormalWeb"/>
              <w:spacing w:before="0" w:beforeAutospacing="0" w:after="0" w:afterAutospacing="0"/>
              <w:jc w:val="both"/>
            </w:pPr>
            <w:r w:rsidRPr="00963445">
              <w:t>Cơ quan Quản lý Thực phẩm của Bộ Y tế Canada đã hoàn thành một đánh giá an toàn trước khi đưa ra thị trường chất phụ gia thực phẩm đề nghị chấp thuận cho việc sử dụng gellan gum trong kem béo thực vật (coffee whiteners) có hương vị.</w:t>
            </w:r>
          </w:p>
          <w:p w14:paraId="2706F978" w14:textId="77777777" w:rsidR="00963445" w:rsidRPr="00963445" w:rsidRDefault="00963445" w:rsidP="008C4A9B">
            <w:pPr>
              <w:pStyle w:val="NormalWeb"/>
              <w:spacing w:before="0" w:beforeAutospacing="0" w:after="0" w:afterAutospacing="0"/>
              <w:jc w:val="both"/>
            </w:pPr>
            <w:r w:rsidRPr="00963445">
              <w:t>Gellan gum đã được phép sử dụng ở Canada như một chất ổn định trong nhiều loại thực phẩm ở mức sử dụng tối đa lên đến 5.000 ppm.</w:t>
            </w:r>
          </w:p>
          <w:p w14:paraId="519D32E8" w14:textId="77777777" w:rsidR="00963445" w:rsidRPr="00963445" w:rsidRDefault="00963445" w:rsidP="008C4A9B">
            <w:pPr>
              <w:pStyle w:val="NormalWeb"/>
              <w:spacing w:before="0" w:beforeAutospacing="0" w:after="0" w:afterAutospacing="0"/>
              <w:jc w:val="both"/>
            </w:pPr>
            <w:r w:rsidRPr="00963445">
              <w:t>Kết quả đánh giá trước khi bán ra thị trường cho thấy tính an toàn và hiệu quả của gellan gum cho mục đích sử dụng được đệ trình. Do đó, Bộ Y tế Canada đã mở rộng việc sử dụng gellan gum như được mô tả trong tài liệu thông tin bên dưới bằng cách sửa đổi danh sách các chất tạo nhũ, tạo keo, ổn định hoặc làm đặc được phép, có hiệu lực từ ngày 3 tháng 6 năm 2022.</w:t>
            </w:r>
          </w:p>
          <w:p w14:paraId="3F295182" w14:textId="16B6BE9B" w:rsidR="00963445" w:rsidRPr="000F1664" w:rsidRDefault="00963445" w:rsidP="008C4A9B">
            <w:pPr>
              <w:pStyle w:val="NormalWeb"/>
              <w:spacing w:before="0" w:beforeAutospacing="0" w:after="0" w:afterAutospacing="0"/>
              <w:jc w:val="both"/>
            </w:pPr>
            <w:r w:rsidRPr="00963445">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963445" w:rsidRPr="000F1664" w14:paraId="20304074"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4E0FDC8" w14:textId="03929B8F" w:rsidR="00963445" w:rsidRPr="000F1664" w:rsidRDefault="00963445" w:rsidP="00AA3CAB">
            <w:pPr>
              <w:spacing w:after="0" w:line="240" w:lineRule="auto"/>
              <w:jc w:val="center"/>
              <w:rPr>
                <w:rFonts w:ascii="Times New Roman" w:eastAsia="Times New Roman" w:hAnsi="Times New Roman" w:cs="Times New Roman"/>
                <w:sz w:val="24"/>
                <w:szCs w:val="24"/>
                <w:highlight w:val="yellow"/>
              </w:rPr>
            </w:pPr>
            <w:r w:rsidRPr="000F1664">
              <w:rPr>
                <w:rFonts w:ascii="Times New Roman" w:hAnsi="Times New Roman" w:cs="Times New Roman"/>
                <w:sz w:val="24"/>
                <w:szCs w:val="24"/>
                <w:lang w:val="vi-VN"/>
              </w:rPr>
              <w:t>55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7C9CD72" w14:textId="52490819" w:rsidR="00963445" w:rsidRPr="00963445" w:rsidRDefault="00963445" w:rsidP="00AA3CAB">
            <w:pPr>
              <w:spacing w:after="0" w:line="240" w:lineRule="auto"/>
              <w:jc w:val="center"/>
              <w:rPr>
                <w:rFonts w:ascii="Times New Roman" w:eastAsia="Times New Roman" w:hAnsi="Times New Roman" w:cs="Times New Roman"/>
                <w:highlight w:val="yellow"/>
                <w:lang w:val="en-US"/>
              </w:rPr>
            </w:pPr>
            <w:r w:rsidRPr="00963445">
              <w:rPr>
                <w:rFonts w:ascii="Times New Roman" w:eastAsia="Times New Roman" w:hAnsi="Times New Roman" w:cs="Times New Roman"/>
                <w:lang w:val="en-US"/>
              </w:rPr>
              <w:t>G/SPS/N/CAN/1443</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3DB657C" w14:textId="67AD10E2" w:rsidR="00963445" w:rsidRPr="000F1664" w:rsidRDefault="00963445" w:rsidP="00AA3CAB">
            <w:pPr>
              <w:spacing w:after="0" w:line="240" w:lineRule="auto"/>
              <w:jc w:val="center"/>
              <w:rPr>
                <w:rFonts w:ascii="Times New Roman" w:eastAsia="Times New Roman" w:hAnsi="Times New Roman" w:cs="Times New Roman"/>
                <w:highlight w:val="yellow"/>
                <w:lang w:val="en-US"/>
              </w:rPr>
            </w:pPr>
            <w:r w:rsidRPr="00963445">
              <w:rPr>
                <w:rFonts w:ascii="Times New Roman" w:eastAsia="Times New Roman" w:hAnsi="Times New Roman" w:cs="Times New Roman"/>
                <w:lang w:val="en-US"/>
              </w:rPr>
              <w:t>ATTP,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2D0FC12" w14:textId="09AE1011"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963445">
              <w:rPr>
                <w:rFonts w:ascii="Times New Roman" w:eastAsia="Times New Roman" w:hAnsi="Times New Roman" w:cs="Times New Roman"/>
                <w:sz w:val="24"/>
                <w:szCs w:val="24"/>
                <w:lang w:val="en-US"/>
              </w:rPr>
              <w:t>Ca-na-đa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66316F5" w14:textId="3E564D69" w:rsidR="00963445" w:rsidRPr="000F1664" w:rsidRDefault="00963445" w:rsidP="00AA3CAB">
            <w:pPr>
              <w:spacing w:after="0" w:line="240" w:lineRule="auto"/>
              <w:jc w:val="center"/>
              <w:rPr>
                <w:rFonts w:ascii="Times New Roman" w:eastAsia="Times New Roman" w:hAnsi="Times New Roman" w:cs="Times New Roman"/>
                <w:sz w:val="24"/>
                <w:szCs w:val="24"/>
                <w:highlight w:val="yellow"/>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274755D" w14:textId="4CA4BE5C" w:rsidR="00963445" w:rsidRPr="000F1664" w:rsidRDefault="00963445" w:rsidP="00AA3CAB">
            <w:pPr>
              <w:spacing w:after="0" w:line="240" w:lineRule="auto"/>
              <w:jc w:val="both"/>
              <w:rPr>
                <w:rFonts w:ascii="Times New Roman" w:eastAsia="Times New Roman" w:hAnsi="Times New Roman" w:cs="Times New Roman"/>
                <w:sz w:val="24"/>
                <w:szCs w:val="24"/>
                <w:highlight w:val="yellow"/>
                <w:lang w:val="en-US"/>
              </w:rPr>
            </w:pPr>
            <w:r w:rsidRPr="00963445">
              <w:rPr>
                <w:rFonts w:ascii="Times New Roman" w:eastAsia="Times New Roman" w:hAnsi="Times New Roman" w:cs="Times New Roman"/>
                <w:sz w:val="24"/>
                <w:szCs w:val="24"/>
                <w:lang w:val="en-US"/>
              </w:rPr>
              <w:t>Thông báo về việc sửa đổi danh sách các chất ngọt được phép sử dụng để mở rộng việc sử dụng kali acesulfame cho các loại súp và các loại nước sốt.</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6EE8882" w14:textId="77777777" w:rsidR="00963445" w:rsidRPr="00963445" w:rsidRDefault="00963445" w:rsidP="008C4A9B">
            <w:pPr>
              <w:pStyle w:val="NormalWeb"/>
              <w:spacing w:before="0" w:beforeAutospacing="0" w:after="0" w:afterAutospacing="0"/>
              <w:jc w:val="both"/>
            </w:pPr>
            <w:r w:rsidRPr="00963445">
              <w:t>Cơ quan Quản lý Thực phẩm của Bộ Y tế Canada đã hoàn thành đánh giá an toàn trước thị trường của một đệ trình phụ gia thực phẩm để xin phê duyệt cho phép sử dụng acesulfame kali trong các loại nước lẩu, nước sốt và gói nước sốt đi kèm với các sản phẩm mì ăn liền.</w:t>
            </w:r>
          </w:p>
          <w:p w14:paraId="37F7EBD2" w14:textId="77777777" w:rsidR="00963445" w:rsidRPr="00963445" w:rsidRDefault="00963445" w:rsidP="008C4A9B">
            <w:pPr>
              <w:pStyle w:val="NormalWeb"/>
              <w:spacing w:before="0" w:beforeAutospacing="0" w:after="0" w:afterAutospacing="0"/>
              <w:jc w:val="both"/>
            </w:pPr>
            <w:r w:rsidRPr="00963445">
              <w:t>Acesulfame kali đã được cho phép sử dụng làm chất tạo ngọt trong nhiều loại thực phẩm.</w:t>
            </w:r>
          </w:p>
          <w:p w14:paraId="3D1EB639" w14:textId="77777777" w:rsidR="00963445" w:rsidRPr="00963445" w:rsidRDefault="00963445" w:rsidP="008C4A9B">
            <w:pPr>
              <w:pStyle w:val="NormalWeb"/>
              <w:spacing w:before="0" w:beforeAutospacing="0" w:after="0" w:afterAutospacing="0"/>
              <w:jc w:val="both"/>
            </w:pPr>
            <w:r w:rsidRPr="00963445">
              <w:t xml:space="preserve">Các kết quả đánh giá trước thị trường chứng minh tính </w:t>
            </w:r>
            <w:r w:rsidRPr="00963445">
              <w:lastRenderedPageBreak/>
              <w:t>an toàn của acesulfame kali cho các mục đích sử dụng trên. Do đó, Bộ Y tế Canada đã mở rộng việc sử dụng kali acesulfame như được mô tả trong tài liệu thông tin bên dưới bằng cách sửa đổi danh sách chất tạo ngọt được phép sử dụng, có hiệu lực từ ngày 20 tháng 6 năm 2022.</w:t>
            </w:r>
          </w:p>
          <w:p w14:paraId="7C7B45C3" w14:textId="5E4187DD" w:rsidR="00963445" w:rsidRPr="000F1664" w:rsidRDefault="00963445" w:rsidP="008C4A9B">
            <w:pPr>
              <w:pStyle w:val="NormalWeb"/>
              <w:spacing w:before="0" w:beforeAutospacing="0" w:after="0" w:afterAutospacing="0"/>
              <w:jc w:val="both"/>
              <w:rPr>
                <w:highlight w:val="yellow"/>
              </w:rPr>
            </w:pPr>
            <w:r w:rsidRPr="00963445">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963445" w:rsidRPr="000F1664" w14:paraId="655551B4"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9FE89A4" w14:textId="2A66736C" w:rsidR="00963445" w:rsidRPr="00A36C1F" w:rsidRDefault="00963445" w:rsidP="00AA3CAB">
            <w:pPr>
              <w:spacing w:after="0" w:line="240" w:lineRule="auto"/>
              <w:jc w:val="center"/>
              <w:rPr>
                <w:rFonts w:ascii="Times New Roman" w:eastAsia="Times New Roman" w:hAnsi="Times New Roman" w:cs="Times New Roman"/>
                <w:sz w:val="24"/>
                <w:szCs w:val="24"/>
              </w:rPr>
            </w:pPr>
            <w:r w:rsidRPr="00A36C1F">
              <w:rPr>
                <w:rFonts w:ascii="Times New Roman" w:hAnsi="Times New Roman" w:cs="Times New Roman"/>
                <w:sz w:val="24"/>
                <w:szCs w:val="24"/>
                <w:lang w:val="vi-VN"/>
              </w:rPr>
              <w:lastRenderedPageBreak/>
              <w:t>56</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6256A4B" w14:textId="6CA0C708" w:rsidR="00963445" w:rsidRPr="00A36C1F" w:rsidRDefault="00963445" w:rsidP="00AA3CAB">
            <w:pPr>
              <w:spacing w:after="0" w:line="240" w:lineRule="auto"/>
              <w:jc w:val="center"/>
              <w:rPr>
                <w:rFonts w:ascii="Times New Roman" w:eastAsia="Times New Roman" w:hAnsi="Times New Roman" w:cs="Times New Roman"/>
                <w:lang w:val="en-US"/>
              </w:rPr>
            </w:pPr>
            <w:r w:rsidRPr="00A36C1F">
              <w:rPr>
                <w:rFonts w:ascii="Times New Roman" w:eastAsia="Times New Roman" w:hAnsi="Times New Roman" w:cs="Times New Roman"/>
                <w:lang w:val="en-US"/>
              </w:rPr>
              <w:t>G/SPS/N/CAN/1442</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46BBC61" w14:textId="7D71F244" w:rsidR="00963445" w:rsidRPr="00A36C1F" w:rsidRDefault="00963445" w:rsidP="00AA3CAB">
            <w:pPr>
              <w:spacing w:after="0" w:line="240" w:lineRule="auto"/>
              <w:jc w:val="center"/>
              <w:rPr>
                <w:rFonts w:ascii="Times New Roman" w:eastAsia="Times New Roman" w:hAnsi="Times New Roman" w:cs="Times New Roman"/>
                <w:lang w:val="en-US"/>
              </w:rPr>
            </w:pPr>
            <w:r w:rsidRPr="00A36C1F">
              <w:rPr>
                <w:rFonts w:ascii="Times New Roman" w:eastAsia="Times New Roman" w:hAnsi="Times New Roman" w:cs="Times New Roman"/>
                <w:lang w:val="en-US"/>
              </w:rPr>
              <w:t>ATTP, 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42695E8" w14:textId="0E111CB9" w:rsidR="00963445" w:rsidRPr="00A36C1F" w:rsidRDefault="00963445" w:rsidP="00AA3CAB">
            <w:pPr>
              <w:spacing w:after="0" w:line="240" w:lineRule="auto"/>
              <w:jc w:val="center"/>
              <w:rPr>
                <w:rFonts w:ascii="Times New Roman" w:eastAsia="Times New Roman" w:hAnsi="Times New Roman" w:cs="Times New Roman"/>
                <w:sz w:val="24"/>
                <w:szCs w:val="24"/>
                <w:lang w:val="en-US"/>
              </w:rPr>
            </w:pPr>
            <w:r w:rsidRPr="00A36C1F">
              <w:rPr>
                <w:rFonts w:ascii="Times New Roman" w:eastAsia="Times New Roman" w:hAnsi="Times New Roman" w:cs="Times New Roman"/>
                <w:sz w:val="24"/>
                <w:szCs w:val="24"/>
                <w:lang w:val="en-US"/>
              </w:rPr>
              <w:t>Ca-na-đa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7518F64" w14:textId="0C074B95" w:rsidR="00963445" w:rsidRPr="00A36C1F" w:rsidRDefault="00963445" w:rsidP="00AA3CAB">
            <w:pPr>
              <w:spacing w:after="0" w:line="240" w:lineRule="auto"/>
              <w:jc w:val="center"/>
              <w:rPr>
                <w:rFonts w:ascii="Times New Roman" w:eastAsia="Times New Roman" w:hAnsi="Times New Roman" w:cs="Times New Roman"/>
                <w:sz w:val="24"/>
                <w:szCs w:val="24"/>
                <w:lang w:val="en-US"/>
              </w:rPr>
            </w:pPr>
            <w:r w:rsidRPr="00A36C1F">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EF6CC50" w14:textId="74E6441F" w:rsidR="00963445" w:rsidRPr="00A36C1F" w:rsidRDefault="00963445" w:rsidP="00AA3CAB">
            <w:pPr>
              <w:spacing w:after="0" w:line="240" w:lineRule="auto"/>
              <w:jc w:val="both"/>
              <w:rPr>
                <w:rFonts w:ascii="Times New Roman" w:eastAsia="Times New Roman" w:hAnsi="Times New Roman" w:cs="Times New Roman"/>
                <w:sz w:val="24"/>
                <w:szCs w:val="24"/>
                <w:lang w:val="en-US"/>
              </w:rPr>
            </w:pPr>
            <w:r w:rsidRPr="00A36C1F">
              <w:rPr>
                <w:rFonts w:ascii="Times New Roman" w:eastAsia="Times New Roman" w:hAnsi="Times New Roman" w:cs="Times New Roman"/>
                <w:sz w:val="24"/>
                <w:szCs w:val="24"/>
                <w:lang w:val="en-US"/>
              </w:rPr>
              <w:t>Đề xuất mức giới hạn dư lượng tối đa: Hexythiazox (PMRL2022-14).</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310A70C" w14:textId="77777777" w:rsidR="00963445" w:rsidRPr="00A36C1F" w:rsidRDefault="00963445" w:rsidP="008C4A9B">
            <w:pPr>
              <w:pStyle w:val="NormalWeb"/>
              <w:spacing w:before="0" w:beforeAutospacing="0" w:after="0" w:afterAutospacing="0"/>
              <w:jc w:val="both"/>
            </w:pPr>
            <w:r w:rsidRPr="00A36C1F">
              <w:t>Mục tiêu của tài liệu được thông báo PMRL2022-14 là tham khảo ý kiến về giới hạn dư lượng tối đa được liệt kê (MRL) đối với hexythiazox,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5"/>
              <w:gridCol w:w="3396"/>
            </w:tblGrid>
            <w:tr w:rsidR="00963445" w:rsidRPr="00A36C1F" w14:paraId="6921AF66" w14:textId="77777777" w:rsidTr="004D558E">
              <w:tc>
                <w:tcPr>
                  <w:tcW w:w="1355" w:type="dxa"/>
                </w:tcPr>
                <w:p w14:paraId="00E53D59" w14:textId="77777777" w:rsidR="00963445" w:rsidRPr="00A36C1F" w:rsidRDefault="00963445" w:rsidP="008C4A9B">
                  <w:pPr>
                    <w:jc w:val="both"/>
                    <w:rPr>
                      <w:rFonts w:ascii="Times New Roman" w:eastAsia="Times New Roman" w:hAnsi="Times New Roman" w:cs="Times New Roman"/>
                      <w:noProof/>
                      <w:sz w:val="24"/>
                      <w:szCs w:val="24"/>
                    </w:rPr>
                  </w:pPr>
                  <w:r w:rsidRPr="00A36C1F">
                    <w:rPr>
                      <w:rFonts w:ascii="Times New Roman" w:eastAsia="Times New Roman" w:hAnsi="Times New Roman" w:cs="Times New Roman"/>
                      <w:noProof/>
                      <w:sz w:val="24"/>
                      <w:szCs w:val="24"/>
                    </w:rPr>
                    <w:t>MRL (ppm)</w:t>
                  </w:r>
                  <w:r w:rsidRPr="00A36C1F">
                    <w:rPr>
                      <w:rFonts w:ascii="Times New Roman" w:eastAsia="Times New Roman" w:hAnsi="Times New Roman" w:cs="Times New Roman"/>
                      <w:noProof/>
                      <w:sz w:val="24"/>
                      <w:szCs w:val="24"/>
                      <w:vertAlign w:val="superscript"/>
                    </w:rPr>
                    <w:t>1</w:t>
                  </w:r>
                </w:p>
                <w:p w14:paraId="756F2578" w14:textId="77777777" w:rsidR="00963445" w:rsidRPr="00A36C1F" w:rsidRDefault="00963445" w:rsidP="008C4A9B">
                  <w:pPr>
                    <w:jc w:val="both"/>
                    <w:rPr>
                      <w:rFonts w:ascii="Times New Roman" w:eastAsia="Times New Roman" w:hAnsi="Times New Roman" w:cs="Times New Roman"/>
                      <w:noProof/>
                      <w:sz w:val="24"/>
                      <w:szCs w:val="24"/>
                    </w:rPr>
                  </w:pPr>
                </w:p>
              </w:tc>
              <w:tc>
                <w:tcPr>
                  <w:tcW w:w="3396" w:type="dxa"/>
                </w:tcPr>
                <w:p w14:paraId="43FD57E4" w14:textId="77777777" w:rsidR="00963445" w:rsidRPr="00A36C1F" w:rsidRDefault="00963445" w:rsidP="008C4A9B">
                  <w:pPr>
                    <w:jc w:val="both"/>
                    <w:rPr>
                      <w:rFonts w:ascii="Times New Roman" w:eastAsia="Times New Roman" w:hAnsi="Times New Roman" w:cs="Times New Roman"/>
                      <w:noProof/>
                      <w:sz w:val="24"/>
                      <w:szCs w:val="24"/>
                    </w:rPr>
                  </w:pPr>
                  <w:r w:rsidRPr="00A36C1F">
                    <w:rPr>
                      <w:rFonts w:ascii="Times New Roman" w:eastAsia="Times New Roman" w:hAnsi="Times New Roman" w:cs="Times New Roman"/>
                      <w:noProof/>
                      <w:sz w:val="24"/>
                      <w:szCs w:val="24"/>
                    </w:rPr>
                    <w:t>Hàng hóa nông sản thô (RAC) và/hoặc đã chế biến</w:t>
                  </w:r>
                </w:p>
              </w:tc>
            </w:tr>
            <w:tr w:rsidR="00963445" w:rsidRPr="00A36C1F" w14:paraId="7B1DBC85" w14:textId="77777777" w:rsidTr="004D558E">
              <w:tc>
                <w:tcPr>
                  <w:tcW w:w="1355" w:type="dxa"/>
                </w:tcPr>
                <w:p w14:paraId="4C52D9A2" w14:textId="77777777" w:rsidR="00963445" w:rsidRPr="00A36C1F" w:rsidRDefault="00963445" w:rsidP="008C4A9B">
                  <w:pPr>
                    <w:jc w:val="both"/>
                    <w:rPr>
                      <w:rFonts w:ascii="Times New Roman" w:eastAsia="Times New Roman" w:hAnsi="Times New Roman" w:cs="Times New Roman"/>
                      <w:noProof/>
                      <w:sz w:val="24"/>
                      <w:szCs w:val="24"/>
                    </w:rPr>
                  </w:pPr>
                  <w:r w:rsidRPr="00A36C1F">
                    <w:rPr>
                      <w:rFonts w:ascii="Times New Roman" w:eastAsia="Times New Roman" w:hAnsi="Times New Roman" w:cs="Times New Roman"/>
                      <w:noProof/>
                      <w:sz w:val="24"/>
                      <w:szCs w:val="24"/>
                    </w:rPr>
                    <w:t xml:space="preserve">15 </w:t>
                  </w:r>
                </w:p>
              </w:tc>
              <w:tc>
                <w:tcPr>
                  <w:tcW w:w="3396" w:type="dxa"/>
                </w:tcPr>
                <w:p w14:paraId="2174062D" w14:textId="77777777" w:rsidR="00963445" w:rsidRPr="00A36C1F" w:rsidRDefault="00963445" w:rsidP="008C4A9B">
                  <w:pPr>
                    <w:jc w:val="both"/>
                    <w:rPr>
                      <w:rFonts w:ascii="Times New Roman" w:eastAsia="Times New Roman" w:hAnsi="Times New Roman" w:cs="Times New Roman"/>
                      <w:noProof/>
                      <w:sz w:val="24"/>
                      <w:szCs w:val="24"/>
                    </w:rPr>
                  </w:pPr>
                  <w:r w:rsidRPr="00A36C1F">
                    <w:rPr>
                      <w:rFonts w:ascii="Times New Roman" w:eastAsia="Times New Roman" w:hAnsi="Times New Roman" w:cs="Times New Roman"/>
                      <w:noProof/>
                      <w:sz w:val="24"/>
                      <w:szCs w:val="24"/>
                    </w:rPr>
                    <w:t>Trà (lá khô)</w:t>
                  </w:r>
                </w:p>
              </w:tc>
            </w:tr>
          </w:tbl>
          <w:p w14:paraId="7E1E23EE" w14:textId="3ED621CB" w:rsidR="00963445" w:rsidRPr="00A36C1F" w:rsidRDefault="00963445" w:rsidP="008C4A9B">
            <w:pPr>
              <w:pStyle w:val="NormalWeb"/>
              <w:spacing w:before="0" w:beforeAutospacing="0" w:after="0" w:afterAutospacing="0"/>
              <w:jc w:val="both"/>
            </w:pPr>
            <w:r w:rsidRPr="00A36C1F">
              <w:t>1ppm = phần triệu</w:t>
            </w:r>
          </w:p>
        </w:tc>
      </w:tr>
      <w:tr w:rsidR="00963445" w:rsidRPr="000F1664" w14:paraId="1433460B"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1749DF2" w14:textId="3766D219"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57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52C4421" w14:textId="70B61040"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G/SPS/N/BRA/2048</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E3E6261" w14:textId="21DC48CB"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A510C84" w14:textId="4F50C90F"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Bờ-ra-xin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259DF4C" w14:textId="1153151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CD83B0E" w14:textId="64C55AFD"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Dự thảo Nghị quyết số 1097, ngày 3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E5E56C3" w14:textId="0119D416" w:rsidR="00963445" w:rsidRPr="000F1664" w:rsidRDefault="00963445" w:rsidP="008C4A9B">
            <w:pPr>
              <w:pStyle w:val="NormalWeb"/>
              <w:spacing w:before="0" w:beforeAutospacing="0" w:after="0" w:afterAutospacing="0"/>
              <w:jc w:val="both"/>
            </w:pPr>
            <w:r w:rsidRPr="00963445">
              <w:t xml:space="preserve">Dự thảo nghị quyết này được coi là đề xuất đưa các hoạt chất sau vào danh sách chuyên khảo các thành phần hoạt tính cho thuốc trừ sâu, sản phẩm làm sạch gia dụng và chất bảo quản gỗ, được công bố thông qua Chỉ thị quy phạm số 103 - ngày 19 tháng 10 năm 2021 trên Công báo Bờ-ra-xin (DOU - Diário Ofting da União): a18 – abamectin, a26-zoxystrobin, a29 – acetamiprid, b46 – benzovindiflupyr, c18-lorotalonil, c36 – cyproconazole, c47 – cyprodinil, c70 – chlorantraniliprole, f43 – iproil, f72udioxoniopyl49 g02 – glyphosate, m02– mancozeb, m32 – metoxyfenozide, </w:t>
            </w:r>
            <w:r w:rsidRPr="00963445">
              <w:lastRenderedPageBreak/>
              <w:t>p21 – propiconazole, p34 – pyriproxyfen, p61 – pyroxasulfone, s13-s-metolachlor, t05-tebutiuron, t28.1-triclopyrbutyl và t48– iamethoxam.</w:t>
            </w:r>
          </w:p>
        </w:tc>
      </w:tr>
      <w:tr w:rsidR="00963445" w:rsidRPr="000F1664" w14:paraId="0C78BCBF"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8B5CA09" w14:textId="7E96D714"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lastRenderedPageBreak/>
              <w:t>58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E12C740" w14:textId="6971A853"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G/SPS/N/BRA/2047</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1729F05" w14:textId="4015A817"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54B4235" w14:textId="0302E05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Bờ-ra-xin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337B85B" w14:textId="38853F33"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BA85CE1" w14:textId="39C48E77"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Dự thảo Nghị quyết số 1096, ngày 02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990A0E2" w14:textId="6AEBB125" w:rsidR="00963445" w:rsidRPr="000F1664" w:rsidRDefault="00963445" w:rsidP="008C4A9B">
            <w:pPr>
              <w:pStyle w:val="NormalWeb"/>
              <w:spacing w:before="0" w:beforeAutospacing="0" w:after="0" w:afterAutospacing="0"/>
              <w:jc w:val="both"/>
            </w:pPr>
            <w:r w:rsidRPr="00963445">
              <w:t>Dự thảo nghị quyết này được coi là đề xuất đưa các hoạt chất TC83 - cinnamonum cassia và C83.1 - cinnamaldehyde vào danh mục chuyên khảo về các thành phần hoạt tính cho thuốc trừ sâu, sản phẩm làm sạch gia dụng và chất bảo quản gỗ, được xuất bản bởi Chỉ thị quy phạm số 103 - ngày 19 tháng 10 năm 2021 trên Công báo Bờ-ra-xin (DOU - Diário Onking da União).</w:t>
            </w:r>
          </w:p>
        </w:tc>
      </w:tr>
      <w:tr w:rsidR="00963445" w:rsidRPr="000F1664" w14:paraId="61A80BC1"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7A18A4B" w14:textId="7BC61DD6"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59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EED992C" w14:textId="3098F93B"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G/SPS/N/BRA/2046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C19DFC9" w14:textId="0723F4A5"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7AB01B5" w14:textId="359BA611"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Bờ-ra-xin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66D2E82" w14:textId="0FC13AD7"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59DFC14" w14:textId="7393FB24"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Thông báo số 60, ngày 21 tháng 6 năm 2022</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6E4F4D55" w14:textId="77777777" w:rsidR="00963445" w:rsidRPr="00963445" w:rsidRDefault="00963445" w:rsidP="008C4A9B">
            <w:pPr>
              <w:pStyle w:val="NormalWeb"/>
              <w:spacing w:before="0" w:beforeAutospacing="0" w:after="0" w:afterAutospacing="0"/>
              <w:jc w:val="both"/>
            </w:pPr>
            <w:r w:rsidRPr="00963445">
              <w:t>Thông báo này xác định VIỆC TẠM NGỪNG VIỆC nhập khẩu, sản xuất, thương mại hóa và phân phối hoạt chất carbendazim và các sản phẩm kỹ thuật có chứa hoạt chất này trên toàn lãnh thổ quốc gia như một biện pháp vệ sinh thực phẩm.</w:t>
            </w:r>
          </w:p>
          <w:p w14:paraId="42235CB3" w14:textId="7356A0B9" w:rsidR="00963445" w:rsidRPr="000F1664" w:rsidRDefault="00963445" w:rsidP="008C4A9B">
            <w:pPr>
              <w:pStyle w:val="NormalWeb"/>
              <w:spacing w:before="0" w:beforeAutospacing="0" w:after="0" w:afterAutospacing="0"/>
              <w:jc w:val="both"/>
            </w:pPr>
            <w:r w:rsidRPr="00963445">
              <w:t>Quy chế này cũng sẽ được thông báo cho Ủy ban TBT.</w:t>
            </w:r>
          </w:p>
        </w:tc>
      </w:tr>
      <w:tr w:rsidR="00963445" w:rsidRPr="000F1664" w14:paraId="6884ADDA"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B11C842" w14:textId="7A739971" w:rsidR="00963445" w:rsidRPr="000F1664" w:rsidRDefault="00963445" w:rsidP="00AA3CAB">
            <w:pPr>
              <w:spacing w:after="0" w:line="240" w:lineRule="auto"/>
              <w:jc w:val="center"/>
              <w:rPr>
                <w:rFonts w:ascii="Times New Roman" w:eastAsia="Times New Roman" w:hAnsi="Times New Roman" w:cs="Times New Roman"/>
                <w:sz w:val="24"/>
                <w:szCs w:val="24"/>
              </w:rPr>
            </w:pPr>
            <w:r w:rsidRPr="000F1664">
              <w:rPr>
                <w:rFonts w:ascii="Times New Roman" w:hAnsi="Times New Roman" w:cs="Times New Roman"/>
                <w:sz w:val="24"/>
                <w:szCs w:val="24"/>
                <w:lang w:val="vi-VN"/>
              </w:rPr>
              <w:t>60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6D7C4F5" w14:textId="67A3E156" w:rsidR="00963445" w:rsidRPr="00963445" w:rsidRDefault="00963445" w:rsidP="00AA3CAB">
            <w:pPr>
              <w:spacing w:after="0" w:line="240" w:lineRule="auto"/>
              <w:jc w:val="center"/>
              <w:rPr>
                <w:rFonts w:ascii="Times New Roman" w:eastAsia="Times New Roman" w:hAnsi="Times New Roman" w:cs="Times New Roman"/>
              </w:rPr>
            </w:pPr>
            <w:r w:rsidRPr="00963445">
              <w:rPr>
                <w:rFonts w:ascii="Times New Roman" w:eastAsia="Times New Roman" w:hAnsi="Times New Roman" w:cs="Times New Roman"/>
              </w:rPr>
              <w:t xml:space="preserve">G/SPS/N/ARE/256, </w:t>
            </w:r>
            <w:r w:rsidRPr="00963445">
              <w:rPr>
                <w:rFonts w:ascii="Times New Roman" w:eastAsia="Times New Roman" w:hAnsi="Times New Roman" w:cs="Times New Roman"/>
              </w:rPr>
              <w:br/>
              <w:t xml:space="preserve">G/SPS/N/BHR/224 </w:t>
            </w:r>
            <w:r w:rsidRPr="00963445">
              <w:rPr>
                <w:rFonts w:ascii="Times New Roman" w:eastAsia="Times New Roman" w:hAnsi="Times New Roman" w:cs="Times New Roman"/>
              </w:rPr>
              <w:br/>
              <w:t>G/SPS/N/KWT/121, G/SPS/N/OMN/120 G/SPS/N/QAT/124, G/SPS/N/SAU/467</w:t>
            </w:r>
            <w:r w:rsidRPr="00963445">
              <w:rPr>
                <w:rFonts w:ascii="Times New Roman" w:eastAsia="Times New Roman" w:hAnsi="Times New Roman" w:cs="Times New Roman"/>
              </w:rPr>
              <w:br/>
              <w:t xml:space="preserve"> G/SPS/N/YEM/65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EAB9651" w14:textId="0650AEFB" w:rsidR="00963445" w:rsidRPr="000F1664"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ATTP</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7B25474" w14:textId="49785175"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Ả Rập Xê Út</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F5EB45D" w14:textId="6B4A4540" w:rsidR="00963445" w:rsidRPr="000F1664"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F3A45E6" w14:textId="556C5072" w:rsidR="00963445" w:rsidRPr="000F1664"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Vương quốc Ả Rập Xê Út/Hội đồng Hợp tác các Quốc gia Ả Rập Vùng Vịnh dự thảo Quy định kỹ thuật về hương liệu được phép sử dụng trong thực phẩm và hướng dẫn sử dụng chúng</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8C56A1E" w14:textId="239EA358" w:rsidR="00963445" w:rsidRPr="000F1664" w:rsidRDefault="00963445" w:rsidP="008C4A9B">
            <w:pPr>
              <w:pStyle w:val="NormalWeb"/>
              <w:spacing w:before="0" w:beforeAutospacing="0" w:after="0" w:afterAutospacing="0"/>
              <w:jc w:val="both"/>
            </w:pPr>
            <w:r w:rsidRPr="00963445">
              <w:t>Dự thảo quy chuẩn kỹ thuật này liên quan đến hương liệu tự nhiên, hương liệu nhân tạo và chất điều vị được phép sử dụng trong sản phẩm thực phẩm, bên cạnh các hướng dẫn sử dụng an toàn và dùng cho người.</w:t>
            </w:r>
          </w:p>
        </w:tc>
      </w:tr>
      <w:tr w:rsidR="00963445" w:rsidRPr="000F1664" w14:paraId="16D2047B"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51703751" w14:textId="3FD28A3F" w:rsidR="00963445" w:rsidRPr="00963445" w:rsidRDefault="00963445" w:rsidP="00AA3CAB">
            <w:pPr>
              <w:spacing w:after="0" w:line="240" w:lineRule="auto"/>
              <w:jc w:val="center"/>
              <w:rPr>
                <w:rFonts w:ascii="Times New Roman" w:eastAsia="Times New Roman" w:hAnsi="Times New Roman" w:cs="Times New Roman"/>
                <w:sz w:val="24"/>
                <w:szCs w:val="24"/>
              </w:rPr>
            </w:pPr>
            <w:r w:rsidRPr="00963445">
              <w:rPr>
                <w:rFonts w:ascii="Times New Roman" w:hAnsi="Times New Roman" w:cs="Times New Roman"/>
                <w:sz w:val="24"/>
                <w:szCs w:val="24"/>
                <w:lang w:val="vi-VN"/>
              </w:rPr>
              <w:t>61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50E83CC" w14:textId="4C285F83"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G/SPS/N/EU/573</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8E30FC3" w14:textId="464EAD9C"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ATTP, BVTV, 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9E07FD6" w14:textId="36BA3F5D"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494FFF8" w14:textId="65691F55"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22/6/2022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32CB504" w14:textId="1F3D95D3" w:rsidR="00963445" w:rsidRPr="00963445"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 xml:space="preserve">Dự thảo sửa đổi Phụ lục II và III của Quy định (EC) số 396/2005 của Nghị viện Châu Âu và Hội đồng liên quan đến mức dư lượng tối đa đối với 1-metyl-3- (trifluoromethyl) -1H-pyrazole-4- carboxamide, cycloxydim , </w:t>
            </w:r>
            <w:r w:rsidRPr="00963445">
              <w:rPr>
                <w:rFonts w:ascii="Times New Roman" w:eastAsia="Times New Roman" w:hAnsi="Times New Roman" w:cs="Times New Roman"/>
                <w:sz w:val="24"/>
                <w:szCs w:val="24"/>
                <w:lang w:val="en-US"/>
              </w:rPr>
              <w:lastRenderedPageBreak/>
              <w:t>cyflumetofen, cyfluthrin, metobromuron và penthiopyrad trong hoặc trên một số sản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4421951" w14:textId="39A6B428" w:rsidR="00963445" w:rsidRPr="00963445" w:rsidRDefault="00963445" w:rsidP="008C4A9B">
            <w:pPr>
              <w:pStyle w:val="NormalWeb"/>
              <w:spacing w:before="0" w:beforeAutospacing="0" w:after="0" w:afterAutospacing="0"/>
              <w:jc w:val="both"/>
            </w:pPr>
            <w:r w:rsidRPr="00963445">
              <w:lastRenderedPageBreak/>
              <w:t xml:space="preserve">Dự thảo quy định được đề xuất liên quan đến việc xem xét các MRL hiện có đối với 1-methyl-3- (trifluoromethyl) -1H-pyrazole-4-carboxamide, cycloxydim, cyflumetofen, cyfluthrin, metobromuron và penthiopyrad trong một số mặt hàng thực phẩm nhất định. MRL đối với các chất này trong một số mặt hàng được thay đổi: tăng hoặc giảm. MRLs thấp hơn được </w:t>
            </w:r>
            <w:r w:rsidRPr="00963445">
              <w:lastRenderedPageBreak/>
              <w:t>thiết lập sau khi cập nhật các giới hạn xác định và/hoặc xóa các mục đích sử dụng cũ không được cho phép nữa ở Liên minh Châu Âu hoặc các mối quan tâm về sức khỏe con người có thể không bị loại trừ. Mức dư lượng tối đa cho một số chất cũng đã được cập nhật.</w:t>
            </w:r>
          </w:p>
        </w:tc>
      </w:tr>
      <w:tr w:rsidR="00963445" w:rsidRPr="000F1664" w14:paraId="0C3A9DE0"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D5204A5" w14:textId="0B0E7904" w:rsidR="00963445" w:rsidRPr="00963445" w:rsidRDefault="00963445" w:rsidP="00AA3CAB">
            <w:pPr>
              <w:spacing w:after="0" w:line="240" w:lineRule="auto"/>
              <w:jc w:val="center"/>
              <w:rPr>
                <w:rFonts w:ascii="Times New Roman" w:eastAsia="Times New Roman" w:hAnsi="Times New Roman" w:cs="Times New Roman"/>
                <w:sz w:val="24"/>
                <w:szCs w:val="24"/>
              </w:rPr>
            </w:pPr>
            <w:r w:rsidRPr="00963445">
              <w:rPr>
                <w:rFonts w:ascii="Times New Roman" w:hAnsi="Times New Roman" w:cs="Times New Roman"/>
                <w:sz w:val="24"/>
                <w:szCs w:val="24"/>
                <w:lang w:val="vi-VN"/>
              </w:rPr>
              <w:lastRenderedPageBreak/>
              <w:t>62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202A42D" w14:textId="5E09B718" w:rsidR="00963445" w:rsidRPr="00963445" w:rsidRDefault="00963445" w:rsidP="00AA3CAB">
            <w:pPr>
              <w:spacing w:after="0" w:line="240" w:lineRule="auto"/>
              <w:jc w:val="center"/>
              <w:rPr>
                <w:rFonts w:ascii="Times New Roman" w:eastAsia="Times New Roman" w:hAnsi="Times New Roman" w:cs="Times New Roman"/>
              </w:rPr>
            </w:pPr>
            <w:r w:rsidRPr="00963445">
              <w:rPr>
                <w:rFonts w:ascii="Times New Roman" w:eastAsia="Times New Roman" w:hAnsi="Times New Roman" w:cs="Times New Roman"/>
                <w:lang w:val="en-US"/>
              </w:rPr>
              <w:t>G/SPS/N/NZL/690</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A60FC63" w14:textId="6C7B5058"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5BF119F" w14:textId="387FA472"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Niu Di-lân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E13C851" w14:textId="5A630A4B"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21/6/2022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7F8B72C" w14:textId="1433DD96" w:rsidR="00963445" w:rsidRPr="00963445"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Thông báo về thực phẩm: Yêu cầu đối với nhà nhập khẩu thực phẩm đã đăng ký và thực phẩm nhập khẩu để bán</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C491A15" w14:textId="77777777" w:rsidR="00963445" w:rsidRPr="00963445" w:rsidRDefault="00963445" w:rsidP="008C4A9B">
            <w:pPr>
              <w:pStyle w:val="NormalWeb"/>
              <w:spacing w:before="0" w:beforeAutospacing="0" w:after="0" w:afterAutospacing="0"/>
              <w:jc w:val="both"/>
            </w:pPr>
            <w:r w:rsidRPr="00963445">
              <w:t>Thông báo này nêu rõ các yêu cầu đối với các nhà nhập khẩu đã đăng ký tại Niu Di-lân và thực phẩm nhập khẩu để bán. Phần 5 và 6 của Thông báo thực phẩm bao gồm các yêu cầu nhập khẩu đối với các loại thực phẩm cụ thể cần được thông quan để nhập cảnh vào Niu Di-lân. Các yêu cầu đối với thực phẩm nhập khẩu được đề cập trong Phần 5 không thay đổi so với các yêu cầu hiện hành.</w:t>
            </w:r>
          </w:p>
          <w:p w14:paraId="5B7A64CE" w14:textId="77777777" w:rsidR="00963445" w:rsidRPr="00963445" w:rsidRDefault="00963445" w:rsidP="008C4A9B">
            <w:pPr>
              <w:pStyle w:val="NormalWeb"/>
              <w:spacing w:before="0" w:beforeAutospacing="0" w:after="0" w:afterAutospacing="0"/>
              <w:jc w:val="both"/>
            </w:pPr>
            <w:r w:rsidRPr="00963445">
              <w:t>Bộ KH &amp; ĐT Niu Di-lânđang lấy ý kiến ​​về Phần 6 của Thông báo Thực phẩm, trong đó có các yêu cầu nhập khẩu đối với thịt bò và các sản phẩm từ thịt bò và thực phẩm có chứa các sản phẩm đó. Nội dung của Phần 6 đã được chuyển từ một tài liệu hoạt động của Bộ KH &amp; ĐT thành thông báo thực phẩm được đề xuất và chúng phản ánh phần lớn cách các quy tắc hiện đang được thực hiện. Danh sách các quốc gia đủ điều kiện xuất khẩu thịt trâu, bò và các sản phẩm từ thịt sang Niu Di-lânvà các điều kiện nhập khẩu tương ứng từ các quốc gia này không thay đổi, ngoại trừ các điều kiện sau:</w:t>
            </w:r>
          </w:p>
          <w:p w14:paraId="017A1020" w14:textId="77777777" w:rsidR="00963445" w:rsidRPr="00963445" w:rsidRDefault="00963445" w:rsidP="008C4A9B">
            <w:pPr>
              <w:pStyle w:val="NormalWeb"/>
              <w:spacing w:before="0" w:beforeAutospacing="0" w:after="0" w:afterAutospacing="0"/>
              <w:jc w:val="both"/>
            </w:pPr>
            <w:r w:rsidRPr="00963445">
              <w:t xml:space="preserve">a) những thay đổi về yêu cầu thông quan đối với các sản phẩm từ Úc; </w:t>
            </w:r>
          </w:p>
          <w:p w14:paraId="35F8289B" w14:textId="42C95492" w:rsidR="00963445" w:rsidRPr="00963445" w:rsidRDefault="00963445" w:rsidP="008C4A9B">
            <w:pPr>
              <w:pStyle w:val="NormalWeb"/>
              <w:spacing w:before="0" w:beforeAutospacing="0" w:after="0" w:afterAutospacing="0"/>
              <w:jc w:val="both"/>
            </w:pPr>
            <w:r w:rsidRPr="00963445">
              <w:t>b) bổ sung Uruguay vào danh sách. Các giải thích thêm có thể được tìm thấy trong tài liệu thảo luận được cung cấp.</w:t>
            </w:r>
          </w:p>
        </w:tc>
      </w:tr>
      <w:tr w:rsidR="00963445" w:rsidRPr="000F1664" w14:paraId="7B162A88" w14:textId="77777777" w:rsidTr="006E5650">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F65D710" w14:textId="45455808"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hAnsi="Times New Roman" w:cs="Times New Roman"/>
                <w:sz w:val="24"/>
                <w:szCs w:val="24"/>
              </w:rPr>
              <w:t>63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FC74C81" w14:textId="5DC417C5" w:rsidR="00963445" w:rsidRPr="00963445" w:rsidRDefault="00963445" w:rsidP="00AA3CAB">
            <w:pPr>
              <w:spacing w:after="0" w:line="240" w:lineRule="auto"/>
              <w:jc w:val="center"/>
              <w:rPr>
                <w:rFonts w:ascii="Times New Roman" w:eastAsia="Times New Roman" w:hAnsi="Times New Roman" w:cs="Times New Roman"/>
                <w:lang w:val="fr-FR"/>
              </w:rPr>
            </w:pPr>
            <w:r w:rsidRPr="00963445">
              <w:rPr>
                <w:rFonts w:ascii="Times New Roman" w:eastAsia="Times New Roman" w:hAnsi="Times New Roman" w:cs="Times New Roman"/>
                <w:lang w:val="en-US"/>
              </w:rPr>
              <w:t>G/SPS/N/AUS/539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BCEB832" w14:textId="51B40C22" w:rsidR="00963445" w:rsidRPr="00963445" w:rsidRDefault="00963445" w:rsidP="00AA3CAB">
            <w:pPr>
              <w:spacing w:after="0" w:line="240" w:lineRule="auto"/>
              <w:jc w:val="center"/>
              <w:rPr>
                <w:rFonts w:ascii="Times New Roman" w:eastAsia="Times New Roman" w:hAnsi="Times New Roman" w:cs="Times New Roman"/>
                <w:lang w:val="en-US"/>
              </w:rPr>
            </w:pPr>
            <w:r w:rsidRPr="00963445">
              <w:rPr>
                <w:rFonts w:ascii="Times New Roman" w:eastAsia="Times New Roman" w:hAnsi="Times New Roman" w:cs="Times New Roman"/>
                <w:lang w:val="en-US"/>
              </w:rPr>
              <w:t>TY, QLCL</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47D2D02" w14:textId="214E6485"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Úc</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1346D35" w14:textId="7151E9A6" w:rsidR="00963445" w:rsidRPr="00963445" w:rsidRDefault="00963445" w:rsidP="00AA3CAB">
            <w:pPr>
              <w:spacing w:after="0" w:line="240" w:lineRule="auto"/>
              <w:jc w:val="center"/>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21/6/2022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34E6F09" w14:textId="60551F86" w:rsidR="00963445" w:rsidRPr="00963445" w:rsidRDefault="00963445" w:rsidP="00AA3CAB">
            <w:pPr>
              <w:spacing w:after="0" w:line="240" w:lineRule="auto"/>
              <w:jc w:val="both"/>
              <w:rPr>
                <w:rFonts w:ascii="Times New Roman" w:eastAsia="Times New Roman" w:hAnsi="Times New Roman" w:cs="Times New Roman"/>
                <w:sz w:val="24"/>
                <w:szCs w:val="24"/>
                <w:lang w:val="en-US"/>
              </w:rPr>
            </w:pPr>
            <w:r w:rsidRPr="00963445">
              <w:rPr>
                <w:rFonts w:ascii="Times New Roman" w:eastAsia="Times New Roman" w:hAnsi="Times New Roman" w:cs="Times New Roman"/>
                <w:sz w:val="24"/>
                <w:szCs w:val="24"/>
                <w:lang w:val="en-US"/>
              </w:rPr>
              <w:t>Lời khuyên về an toàn sinh học cho động vật 2022/03</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7C9EE77" w14:textId="77777777" w:rsidR="00963445" w:rsidRPr="00963445" w:rsidRDefault="00963445" w:rsidP="008C4A9B">
            <w:pPr>
              <w:pStyle w:val="NormalWeb"/>
              <w:spacing w:before="0" w:beforeAutospacing="0" w:after="0" w:afterAutospacing="0"/>
              <w:jc w:val="both"/>
            </w:pPr>
            <w:r w:rsidRPr="00963445">
              <w:t xml:space="preserve">Như đã nêu trong Lời khuyên về an toàn sinh học cho động vật (Biosecurity Advices 2022 - DAWE), Bộ Nông nghiệp, Nước và Môi trường của Úc đã phát hành </w:t>
            </w:r>
            <w:r w:rsidRPr="00963445">
              <w:lastRenderedPageBreak/>
              <w:t>Tài liệu như là bước đầu tiên trong phân tích rủi ro nhập khẩu an toàn sinh học (BIRA) đối với việc nhập khẩu cá tầm sống nhằm mục đích nuôi trồng thủy sản. BIRA sẽ xác định các mối nguy an toàn sinh học liên quan đến việc nhập khẩu cá tầm sống và việc đánh giá rủi ro của các mối nguy sẽ được thực hiện theo yêu cầu. Tài liệu phác thảo các quy trình cần tuân thủ và nhận dạng mối nguy.</w:t>
            </w:r>
          </w:p>
          <w:p w14:paraId="147C2EA5" w14:textId="18CE3D80" w:rsidR="00963445" w:rsidRPr="00963445" w:rsidRDefault="00963445" w:rsidP="008C4A9B">
            <w:pPr>
              <w:pStyle w:val="NormalWeb"/>
              <w:spacing w:before="0" w:beforeAutospacing="0" w:after="0" w:afterAutospacing="0"/>
              <w:jc w:val="both"/>
            </w:pPr>
            <w:r w:rsidRPr="00963445">
              <w:t>Các đối tác thương mại sẽ được thông báo về việc phát hành dự thảo báo cáo BIRA đúng hạn và sẽ có cơ hội đóng góp ý kiến bổ sung vào thời điểm đó.</w:t>
            </w:r>
          </w:p>
        </w:tc>
      </w:tr>
    </w:tbl>
    <w:p w14:paraId="5BA5AC9C" w14:textId="22B8AA3B" w:rsidR="00963445" w:rsidRDefault="00963445"/>
    <w:p w14:paraId="216759B9" w14:textId="77777777" w:rsidR="00963445" w:rsidRDefault="00963445">
      <w:r>
        <w:br w:type="page"/>
      </w:r>
    </w:p>
    <w:p w14:paraId="7FB6F281" w14:textId="77777777" w:rsidR="00F5384B" w:rsidRPr="000F1664" w:rsidRDefault="00F5384B" w:rsidP="00F5384B">
      <w:pPr>
        <w:spacing w:before="120" w:after="120"/>
        <w:rPr>
          <w:rFonts w:ascii="Times New Roman" w:hAnsi="Times New Roman" w:cs="Times New Roman"/>
          <w:b/>
          <w:sz w:val="28"/>
          <w:szCs w:val="28"/>
          <w:shd w:val="clear" w:color="auto" w:fill="FFFFFF"/>
        </w:rPr>
      </w:pPr>
      <w:r w:rsidRPr="000F1664">
        <w:rPr>
          <w:rFonts w:ascii="Times New Roman" w:hAnsi="Times New Roman" w:cs="Times New Roman"/>
          <w:b/>
          <w:sz w:val="28"/>
          <w:szCs w:val="28"/>
          <w:shd w:val="clear" w:color="auto" w:fill="FFFFFF"/>
        </w:rPr>
        <w:lastRenderedPageBreak/>
        <w:t>2. Danh sách các văn bản quy định về SPS có hiệu lực</w:t>
      </w:r>
    </w:p>
    <w:tbl>
      <w:tblPr>
        <w:tblW w:w="1468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6"/>
        <w:gridCol w:w="2082"/>
        <w:gridCol w:w="734"/>
        <w:gridCol w:w="1078"/>
        <w:gridCol w:w="1255"/>
        <w:gridCol w:w="3393"/>
        <w:gridCol w:w="5508"/>
      </w:tblGrid>
      <w:tr w:rsidR="00963445" w:rsidRPr="00955A01" w14:paraId="17D46193" w14:textId="77777777" w:rsidTr="004D558E">
        <w:trPr>
          <w:trHeight w:val="206"/>
        </w:trPr>
        <w:tc>
          <w:tcPr>
            <w:tcW w:w="636" w:type="dxa"/>
            <w:shd w:val="clear" w:color="auto" w:fill="EEEEEE"/>
            <w:vAlign w:val="center"/>
          </w:tcPr>
          <w:p w14:paraId="509858CD" w14:textId="77777777" w:rsidR="00963445" w:rsidRPr="00955A01" w:rsidRDefault="00963445" w:rsidP="004D558E">
            <w:pPr>
              <w:spacing w:after="92" w:line="240" w:lineRule="auto"/>
              <w:jc w:val="center"/>
              <w:rPr>
                <w:rFonts w:ascii="Times New Roman" w:eastAsia="Times New Roman" w:hAnsi="Times New Roman" w:cs="Times New Roman"/>
                <w:b/>
                <w:bCs/>
                <w:sz w:val="24"/>
                <w:szCs w:val="24"/>
                <w:lang w:val="en-US"/>
              </w:rPr>
            </w:pPr>
            <w:r w:rsidRPr="00955A01">
              <w:rPr>
                <w:rFonts w:ascii="Times New Roman" w:hAnsi="Times New Roman" w:cs="Times New Roman"/>
                <w:b/>
                <w:bCs/>
                <w:sz w:val="24"/>
                <w:szCs w:val="24"/>
              </w:rPr>
              <w:t>STT</w:t>
            </w:r>
          </w:p>
        </w:tc>
        <w:tc>
          <w:tcPr>
            <w:tcW w:w="2082" w:type="dxa"/>
            <w:shd w:val="clear" w:color="auto" w:fill="EEEEEE"/>
            <w:tcMar>
              <w:top w:w="46" w:type="dxa"/>
              <w:left w:w="46" w:type="dxa"/>
              <w:bottom w:w="46" w:type="dxa"/>
              <w:right w:w="46" w:type="dxa"/>
            </w:tcMar>
            <w:vAlign w:val="center"/>
          </w:tcPr>
          <w:p w14:paraId="7F939E17" w14:textId="77777777" w:rsidR="00963445" w:rsidRPr="00955A01" w:rsidRDefault="00963445" w:rsidP="004D558E">
            <w:pPr>
              <w:spacing w:after="92" w:line="240" w:lineRule="auto"/>
              <w:jc w:val="center"/>
              <w:rPr>
                <w:rFonts w:ascii="Times New Roman" w:eastAsia="Times New Roman" w:hAnsi="Times New Roman" w:cs="Times New Roman"/>
                <w:b/>
                <w:bCs/>
                <w:lang w:val="en-US"/>
              </w:rPr>
            </w:pPr>
            <w:r w:rsidRPr="00955A01">
              <w:rPr>
                <w:rFonts w:ascii="Times New Roman" w:eastAsia="Times New Roman" w:hAnsi="Times New Roman" w:cs="Times New Roman"/>
                <w:b/>
                <w:bCs/>
                <w:lang w:val="en-US"/>
              </w:rPr>
              <w:t>Mã WTO</w:t>
            </w:r>
          </w:p>
        </w:tc>
        <w:tc>
          <w:tcPr>
            <w:tcW w:w="734" w:type="dxa"/>
            <w:shd w:val="clear" w:color="auto" w:fill="EEEEEE"/>
            <w:tcMar>
              <w:top w:w="46" w:type="dxa"/>
              <w:left w:w="46" w:type="dxa"/>
              <w:bottom w:w="46" w:type="dxa"/>
              <w:right w:w="46" w:type="dxa"/>
            </w:tcMar>
          </w:tcPr>
          <w:p w14:paraId="5D24CE97" w14:textId="77777777" w:rsidR="00963445" w:rsidRPr="00955A01" w:rsidRDefault="00963445" w:rsidP="004D558E">
            <w:pPr>
              <w:spacing w:after="92" w:line="240" w:lineRule="auto"/>
              <w:jc w:val="center"/>
              <w:rPr>
                <w:rFonts w:ascii="Times New Roman" w:eastAsia="Times New Roman" w:hAnsi="Times New Roman" w:cs="Times New Roman"/>
                <w:b/>
                <w:bCs/>
                <w:lang w:val="en-US"/>
              </w:rPr>
            </w:pPr>
            <w:r w:rsidRPr="00955A01">
              <w:rPr>
                <w:rFonts w:ascii="Times New Roman" w:eastAsia="Times New Roman" w:hAnsi="Times New Roman" w:cs="Times New Roman"/>
                <w:b/>
                <w:bCs/>
                <w:lang w:val="en-US"/>
              </w:rPr>
              <w:t>Lĩnh vực</w:t>
            </w:r>
          </w:p>
        </w:tc>
        <w:tc>
          <w:tcPr>
            <w:tcW w:w="1078" w:type="dxa"/>
            <w:shd w:val="clear" w:color="auto" w:fill="EEEEEE"/>
            <w:tcMar>
              <w:top w:w="46" w:type="dxa"/>
              <w:left w:w="46" w:type="dxa"/>
              <w:bottom w:w="46" w:type="dxa"/>
              <w:right w:w="46" w:type="dxa"/>
            </w:tcMar>
            <w:vAlign w:val="center"/>
            <w:hideMark/>
          </w:tcPr>
          <w:p w14:paraId="681668F8" w14:textId="77777777" w:rsidR="00963445" w:rsidRPr="00955A01" w:rsidRDefault="00963445" w:rsidP="004D558E">
            <w:pPr>
              <w:spacing w:after="92" w:line="240" w:lineRule="auto"/>
              <w:jc w:val="center"/>
              <w:rPr>
                <w:rFonts w:ascii="Times New Roman" w:eastAsia="Times New Roman" w:hAnsi="Times New Roman" w:cs="Times New Roman"/>
                <w:b/>
                <w:bCs/>
                <w:sz w:val="24"/>
                <w:szCs w:val="24"/>
                <w:lang w:val="en-US"/>
              </w:rPr>
            </w:pPr>
            <w:r w:rsidRPr="00955A01">
              <w:rPr>
                <w:rFonts w:ascii="Times New Roman" w:eastAsia="Times New Roman" w:hAnsi="Times New Roman" w:cs="Times New Roman"/>
                <w:b/>
                <w:bCs/>
                <w:sz w:val="24"/>
                <w:szCs w:val="24"/>
                <w:lang w:val="en-US"/>
              </w:rPr>
              <w:t>Quốc gia</w:t>
            </w:r>
          </w:p>
        </w:tc>
        <w:tc>
          <w:tcPr>
            <w:tcW w:w="1255" w:type="dxa"/>
            <w:shd w:val="clear" w:color="auto" w:fill="EEEEEE"/>
            <w:tcMar>
              <w:top w:w="46" w:type="dxa"/>
              <w:left w:w="46" w:type="dxa"/>
              <w:bottom w:w="46" w:type="dxa"/>
              <w:right w:w="46" w:type="dxa"/>
            </w:tcMar>
            <w:vAlign w:val="center"/>
            <w:hideMark/>
          </w:tcPr>
          <w:p w14:paraId="3EC5E46F" w14:textId="77777777" w:rsidR="00963445" w:rsidRPr="00955A01" w:rsidRDefault="00963445" w:rsidP="004D558E">
            <w:pPr>
              <w:spacing w:after="92" w:line="240" w:lineRule="auto"/>
              <w:jc w:val="center"/>
              <w:rPr>
                <w:rFonts w:ascii="Times New Roman" w:eastAsia="Times New Roman" w:hAnsi="Times New Roman" w:cs="Times New Roman"/>
                <w:b/>
                <w:bCs/>
                <w:sz w:val="24"/>
                <w:szCs w:val="24"/>
                <w:lang w:val="en-US"/>
              </w:rPr>
            </w:pPr>
            <w:r w:rsidRPr="00955A01">
              <w:rPr>
                <w:rFonts w:ascii="Times New Roman" w:eastAsia="Times New Roman" w:hAnsi="Times New Roman" w:cs="Times New Roman"/>
                <w:b/>
                <w:bCs/>
                <w:sz w:val="24"/>
                <w:szCs w:val="24"/>
                <w:lang w:val="en-US"/>
              </w:rPr>
              <w:t>Ngày thông báo</w:t>
            </w:r>
          </w:p>
        </w:tc>
        <w:tc>
          <w:tcPr>
            <w:tcW w:w="3393" w:type="dxa"/>
            <w:shd w:val="clear" w:color="auto" w:fill="EEEEEE"/>
            <w:tcMar>
              <w:top w:w="46" w:type="dxa"/>
              <w:left w:w="46" w:type="dxa"/>
              <w:bottom w:w="46" w:type="dxa"/>
              <w:right w:w="46" w:type="dxa"/>
            </w:tcMar>
            <w:vAlign w:val="center"/>
            <w:hideMark/>
          </w:tcPr>
          <w:p w14:paraId="48D95735" w14:textId="77777777" w:rsidR="00963445" w:rsidRPr="00955A01" w:rsidRDefault="00963445" w:rsidP="004D558E">
            <w:pPr>
              <w:spacing w:after="92" w:line="240" w:lineRule="auto"/>
              <w:jc w:val="both"/>
              <w:rPr>
                <w:rFonts w:ascii="Times New Roman" w:eastAsia="Times New Roman" w:hAnsi="Times New Roman" w:cs="Times New Roman"/>
                <w:b/>
                <w:bCs/>
                <w:sz w:val="24"/>
                <w:szCs w:val="24"/>
                <w:lang w:val="en-US"/>
              </w:rPr>
            </w:pPr>
            <w:r w:rsidRPr="00955A01">
              <w:rPr>
                <w:rFonts w:ascii="Times New Roman" w:eastAsia="Times New Roman" w:hAnsi="Times New Roman" w:cs="Times New Roman"/>
                <w:b/>
                <w:bCs/>
                <w:sz w:val="24"/>
                <w:szCs w:val="24"/>
                <w:lang w:val="en-US"/>
              </w:rPr>
              <w:t>Tiêu đề</w:t>
            </w:r>
          </w:p>
        </w:tc>
        <w:tc>
          <w:tcPr>
            <w:tcW w:w="5508" w:type="dxa"/>
            <w:shd w:val="clear" w:color="auto" w:fill="EEEEEE"/>
            <w:tcMar>
              <w:top w:w="46" w:type="dxa"/>
              <w:left w:w="46" w:type="dxa"/>
              <w:bottom w:w="46" w:type="dxa"/>
              <w:right w:w="46" w:type="dxa"/>
            </w:tcMar>
            <w:vAlign w:val="center"/>
            <w:hideMark/>
          </w:tcPr>
          <w:p w14:paraId="54F360C6" w14:textId="77777777" w:rsidR="00963445" w:rsidRPr="00955A01" w:rsidRDefault="00963445" w:rsidP="004D558E">
            <w:pPr>
              <w:spacing w:after="0" w:line="240" w:lineRule="auto"/>
              <w:jc w:val="both"/>
              <w:rPr>
                <w:rFonts w:ascii="Times New Roman" w:eastAsia="Times New Roman" w:hAnsi="Times New Roman" w:cs="Times New Roman"/>
                <w:b/>
                <w:bCs/>
                <w:sz w:val="24"/>
                <w:szCs w:val="24"/>
                <w:lang w:val="en-US"/>
              </w:rPr>
            </w:pPr>
            <w:r w:rsidRPr="00955A01">
              <w:rPr>
                <w:rFonts w:ascii="Times New Roman" w:eastAsia="Times New Roman" w:hAnsi="Times New Roman" w:cs="Times New Roman"/>
                <w:b/>
                <w:bCs/>
                <w:sz w:val="24"/>
                <w:szCs w:val="24"/>
                <w:lang w:val="en-US"/>
              </w:rPr>
              <w:t>Tóm tắt</w:t>
            </w:r>
          </w:p>
        </w:tc>
      </w:tr>
      <w:tr w:rsidR="00963445" w:rsidRPr="00955A01" w14:paraId="78C65D58" w14:textId="77777777" w:rsidTr="004D558E">
        <w:trPr>
          <w:trHeight w:val="692"/>
        </w:trPr>
        <w:tc>
          <w:tcPr>
            <w:tcW w:w="636" w:type="dxa"/>
            <w:shd w:val="clear" w:color="auto" w:fill="FFFFFF"/>
            <w:vAlign w:val="center"/>
          </w:tcPr>
          <w:p w14:paraId="49B00F7B" w14:textId="77777777" w:rsidR="00963445" w:rsidRPr="00955A01" w:rsidRDefault="00963445" w:rsidP="004D558E">
            <w:pPr>
              <w:spacing w:after="92"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t>1</w:t>
            </w:r>
          </w:p>
        </w:tc>
        <w:tc>
          <w:tcPr>
            <w:tcW w:w="2082" w:type="dxa"/>
            <w:shd w:val="clear" w:color="auto" w:fill="FFFFFF"/>
            <w:tcMar>
              <w:top w:w="37" w:type="dxa"/>
              <w:left w:w="37" w:type="dxa"/>
              <w:bottom w:w="37" w:type="dxa"/>
              <w:right w:w="37" w:type="dxa"/>
            </w:tcMar>
          </w:tcPr>
          <w:p w14:paraId="024EBBAD" w14:textId="79CBCC94" w:rsidR="00963445" w:rsidRPr="00955A01" w:rsidRDefault="00963445" w:rsidP="004D558E">
            <w:pPr>
              <w:spacing w:after="92"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G/SPS/N/CHL/722/</w:t>
            </w:r>
            <w:r w:rsidRPr="00955A01">
              <w:rPr>
                <w:rFonts w:ascii="Times New Roman" w:eastAsia="Times New Roman" w:hAnsi="Times New Roman" w:cs="Times New Roman"/>
                <w:lang w:val="en-US"/>
              </w:rPr>
              <w:br/>
              <w:t>Add.1</w:t>
            </w:r>
          </w:p>
        </w:tc>
        <w:tc>
          <w:tcPr>
            <w:tcW w:w="734" w:type="dxa"/>
            <w:shd w:val="clear" w:color="auto" w:fill="FFFFFF"/>
            <w:tcMar>
              <w:top w:w="37" w:type="dxa"/>
              <w:left w:w="37" w:type="dxa"/>
              <w:bottom w:w="37" w:type="dxa"/>
              <w:right w:w="37" w:type="dxa"/>
            </w:tcMar>
          </w:tcPr>
          <w:p w14:paraId="21829518" w14:textId="7943CC7A" w:rsidR="00963445" w:rsidRPr="00955A01" w:rsidRDefault="00963445" w:rsidP="004D558E">
            <w:pPr>
              <w:spacing w:after="92"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BVTV</w:t>
            </w:r>
          </w:p>
        </w:tc>
        <w:tc>
          <w:tcPr>
            <w:tcW w:w="1078" w:type="dxa"/>
            <w:shd w:val="clear" w:color="auto" w:fill="FFFFFF"/>
            <w:tcMar>
              <w:top w:w="37" w:type="dxa"/>
              <w:left w:w="37" w:type="dxa"/>
              <w:bottom w:w="37" w:type="dxa"/>
              <w:right w:w="37" w:type="dxa"/>
            </w:tcMar>
            <w:hideMark/>
          </w:tcPr>
          <w:p w14:paraId="299E8ADF" w14:textId="1116A517" w:rsidR="00963445" w:rsidRPr="00955A01" w:rsidRDefault="00963445" w:rsidP="004D558E">
            <w:pPr>
              <w:spacing w:after="92"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Chi-lê</w:t>
            </w:r>
          </w:p>
        </w:tc>
        <w:tc>
          <w:tcPr>
            <w:tcW w:w="1255" w:type="dxa"/>
            <w:shd w:val="clear" w:color="auto" w:fill="FFFFFF"/>
            <w:tcMar>
              <w:top w:w="37" w:type="dxa"/>
              <w:left w:w="37" w:type="dxa"/>
              <w:bottom w:w="37" w:type="dxa"/>
              <w:right w:w="37" w:type="dxa"/>
            </w:tcMar>
            <w:hideMark/>
          </w:tcPr>
          <w:p w14:paraId="42424CA0" w14:textId="1293E164" w:rsidR="00963445" w:rsidRPr="00955A01" w:rsidRDefault="00963445" w:rsidP="004D558E">
            <w:pPr>
              <w:spacing w:after="92"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19/07/2022</w:t>
            </w:r>
          </w:p>
        </w:tc>
        <w:tc>
          <w:tcPr>
            <w:tcW w:w="3393" w:type="dxa"/>
            <w:shd w:val="clear" w:color="auto" w:fill="FFFFFF"/>
            <w:tcMar>
              <w:top w:w="37" w:type="dxa"/>
              <w:left w:w="37" w:type="dxa"/>
              <w:bottom w:w="37" w:type="dxa"/>
              <w:right w:w="37" w:type="dxa"/>
            </w:tcMar>
            <w:hideMark/>
          </w:tcPr>
          <w:p w14:paraId="04827823" w14:textId="33DFBBD3"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Nghị quyết miễn trừ 3.541 – Quy định yêu cầu kiểm dịch thực vật nhập khẩu đối với hạt đậu phộng (</w:t>
            </w:r>
            <w:r w:rsidRPr="00955A01">
              <w:rPr>
                <w:rFonts w:ascii="Times New Roman" w:eastAsia="Times New Roman" w:hAnsi="Times New Roman" w:cs="Times New Roman"/>
                <w:i/>
                <w:iCs/>
                <w:sz w:val="24"/>
                <w:szCs w:val="24"/>
                <w:lang w:val="en-US"/>
              </w:rPr>
              <w:t>Arachis hypogea</w:t>
            </w:r>
            <w:r w:rsidRPr="00955A01">
              <w:rPr>
                <w:rFonts w:ascii="Times New Roman" w:eastAsia="Times New Roman" w:hAnsi="Times New Roman" w:cs="Times New Roman"/>
                <w:sz w:val="24"/>
                <w:szCs w:val="24"/>
                <w:lang w:val="en-US"/>
              </w:rPr>
              <w:t>) còn vỏ và không vỏ, bãi bỏ Nghị quyết số 4.143 năm 2018</w:t>
            </w:r>
          </w:p>
        </w:tc>
        <w:tc>
          <w:tcPr>
            <w:tcW w:w="5508" w:type="dxa"/>
            <w:shd w:val="clear" w:color="auto" w:fill="FFFFFF"/>
            <w:tcMar>
              <w:top w:w="37" w:type="dxa"/>
              <w:left w:w="37" w:type="dxa"/>
              <w:bottom w:w="37" w:type="dxa"/>
              <w:right w:w="37" w:type="dxa"/>
            </w:tcMar>
          </w:tcPr>
          <w:p w14:paraId="0190B5C9" w14:textId="77777777" w:rsidR="00963445" w:rsidRPr="00955A01" w:rsidRDefault="00963445" w:rsidP="004D558E">
            <w:pPr>
              <w:pStyle w:val="NormalWeb"/>
              <w:shd w:val="clear" w:color="auto" w:fill="FFFFFF"/>
              <w:spacing w:before="0" w:beforeAutospacing="0" w:after="0" w:afterAutospacing="0"/>
              <w:jc w:val="both"/>
              <w:rPr>
                <w:lang w:val="en-US"/>
              </w:rPr>
            </w:pPr>
            <w:r w:rsidRPr="00955A01">
              <w:t xml:space="preserve">Chi-lê </w:t>
            </w:r>
            <w:r w:rsidRPr="00955A01">
              <w:rPr>
                <w:lang w:val="en-US"/>
              </w:rPr>
              <w:t>thông</w:t>
            </w:r>
            <w:r w:rsidRPr="00955A01">
              <w:t xml:space="preserve"> báo Nghị quyết miễn trừ </w:t>
            </w:r>
            <w:r w:rsidRPr="00955A01">
              <w:rPr>
                <w:lang w:val="en-US"/>
              </w:rPr>
              <w:t xml:space="preserve">số </w:t>
            </w:r>
            <w:r w:rsidRPr="00955A01">
              <w:t xml:space="preserve">3.541 </w:t>
            </w:r>
            <w:r w:rsidRPr="00955A01">
              <w:rPr>
                <w:lang w:val="en-US"/>
              </w:rPr>
              <w:t>“Ban hành</w:t>
            </w:r>
            <w:r w:rsidRPr="00955A01">
              <w:t xml:space="preserve"> yêu cầu kiểm dịch thực vật nhập khẩu đối với hạt đậu phộng (</w:t>
            </w:r>
            <w:r w:rsidRPr="00955A01">
              <w:rPr>
                <w:i/>
                <w:iCs/>
              </w:rPr>
              <w:t>Arachis hypogea</w:t>
            </w:r>
            <w:r w:rsidRPr="00955A01">
              <w:t xml:space="preserve">) </w:t>
            </w:r>
            <w:r w:rsidRPr="00955A01">
              <w:rPr>
                <w:lang w:val="en-US"/>
              </w:rPr>
              <w:t>còn vỏ và không vỏ,</w:t>
            </w:r>
            <w:r w:rsidRPr="00955A01">
              <w:t xml:space="preserve"> bãi bỏ Nghị quyết số 4.143 năm 2018” được đăng trên Công báo ngày 12 tháng 7 năm 2022, có hiệu lực sau 30 ngày kể từ ngày </w:t>
            </w:r>
            <w:r w:rsidRPr="00955A01">
              <w:rPr>
                <w:lang w:val="en-US"/>
              </w:rPr>
              <w:t>đăng tải.</w:t>
            </w:r>
          </w:p>
          <w:p w14:paraId="3EB9CBA5" w14:textId="279A8B7B" w:rsidR="00963445" w:rsidRPr="00955A01" w:rsidRDefault="00963445" w:rsidP="004D558E">
            <w:pPr>
              <w:pStyle w:val="NormalWeb"/>
              <w:shd w:val="clear" w:color="auto" w:fill="FFFFFF"/>
              <w:spacing w:before="0" w:beforeAutospacing="0" w:after="0" w:afterAutospacing="0"/>
              <w:jc w:val="both"/>
            </w:pPr>
            <w:r w:rsidRPr="00955A01">
              <w:t>Phụ lục</w:t>
            </w:r>
            <w:r w:rsidRPr="00955A01">
              <w:rPr>
                <w:lang w:val="en-US"/>
              </w:rPr>
              <w:t xml:space="preserve"> liên quan</w:t>
            </w:r>
            <w:r w:rsidRPr="00955A01">
              <w:t xml:space="preserve">: Thông báo quy định được thông qua, công bố hoặc có hiệu lực </w:t>
            </w:r>
          </w:p>
        </w:tc>
      </w:tr>
      <w:tr w:rsidR="00963445" w:rsidRPr="00955A01" w14:paraId="6D6C0020" w14:textId="77777777" w:rsidTr="004D558E">
        <w:trPr>
          <w:trHeight w:val="562"/>
        </w:trPr>
        <w:tc>
          <w:tcPr>
            <w:tcW w:w="636" w:type="dxa"/>
            <w:shd w:val="clear" w:color="auto" w:fill="FFFFFF"/>
            <w:vAlign w:val="center"/>
          </w:tcPr>
          <w:p w14:paraId="6CF7E217"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t>2</w:t>
            </w:r>
          </w:p>
        </w:tc>
        <w:tc>
          <w:tcPr>
            <w:tcW w:w="2082" w:type="dxa"/>
            <w:shd w:val="clear" w:color="auto" w:fill="FFFFFF"/>
            <w:tcMar>
              <w:top w:w="37" w:type="dxa"/>
              <w:left w:w="37" w:type="dxa"/>
              <w:bottom w:w="37" w:type="dxa"/>
              <w:right w:w="37" w:type="dxa"/>
            </w:tcMar>
          </w:tcPr>
          <w:p w14:paraId="7CA9868F" w14:textId="680F79E2" w:rsidR="00963445" w:rsidRPr="00955A01" w:rsidRDefault="00963445" w:rsidP="004D558E">
            <w:pPr>
              <w:spacing w:after="0" w:line="240" w:lineRule="auto"/>
              <w:jc w:val="center"/>
              <w:rPr>
                <w:rFonts w:ascii="Times New Roman" w:eastAsia="Times New Roman" w:hAnsi="Times New Roman" w:cs="Times New Roman"/>
                <w:lang w:val="fr-FR"/>
              </w:rPr>
            </w:pPr>
            <w:r w:rsidRPr="00955A01">
              <w:rPr>
                <w:rFonts w:ascii="Times New Roman" w:eastAsia="Times New Roman" w:hAnsi="Times New Roman" w:cs="Times New Roman"/>
                <w:lang w:val="fr-FR"/>
              </w:rPr>
              <w:t>G/SPS/N/EU/509/</w:t>
            </w:r>
            <w:r w:rsidRPr="00955A01">
              <w:rPr>
                <w:rFonts w:ascii="Times New Roman" w:eastAsia="Times New Roman" w:hAnsi="Times New Roman" w:cs="Times New Roman"/>
                <w:lang w:val="fr-FR"/>
              </w:rPr>
              <w:br/>
              <w:t>Add.1</w:t>
            </w:r>
          </w:p>
        </w:tc>
        <w:tc>
          <w:tcPr>
            <w:tcW w:w="734" w:type="dxa"/>
            <w:shd w:val="clear" w:color="auto" w:fill="FFFFFF"/>
            <w:tcMar>
              <w:top w:w="37" w:type="dxa"/>
              <w:left w:w="37" w:type="dxa"/>
              <w:bottom w:w="37" w:type="dxa"/>
              <w:right w:w="37" w:type="dxa"/>
            </w:tcMar>
          </w:tcPr>
          <w:p w14:paraId="0E9C260C" w14:textId="54AB6A3E"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fr-FR"/>
              </w:rPr>
              <w:t>TY</w:t>
            </w:r>
          </w:p>
        </w:tc>
        <w:tc>
          <w:tcPr>
            <w:tcW w:w="1078" w:type="dxa"/>
            <w:shd w:val="clear" w:color="auto" w:fill="FFFFFF"/>
            <w:tcMar>
              <w:top w:w="37" w:type="dxa"/>
              <w:left w:w="37" w:type="dxa"/>
              <w:bottom w:w="37" w:type="dxa"/>
              <w:right w:w="37" w:type="dxa"/>
            </w:tcMar>
            <w:hideMark/>
          </w:tcPr>
          <w:p w14:paraId="176C44D9" w14:textId="5CC2C803"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Liên minh châu Âu</w:t>
            </w:r>
          </w:p>
        </w:tc>
        <w:tc>
          <w:tcPr>
            <w:tcW w:w="1255" w:type="dxa"/>
            <w:shd w:val="clear" w:color="auto" w:fill="FFFFFF"/>
            <w:tcMar>
              <w:top w:w="37" w:type="dxa"/>
              <w:left w:w="37" w:type="dxa"/>
              <w:bottom w:w="37" w:type="dxa"/>
              <w:right w:w="37" w:type="dxa"/>
            </w:tcMar>
            <w:hideMark/>
          </w:tcPr>
          <w:p w14:paraId="2F99EBEF" w14:textId="442EB143"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18/07/2022</w:t>
            </w:r>
          </w:p>
        </w:tc>
        <w:tc>
          <w:tcPr>
            <w:tcW w:w="3393" w:type="dxa"/>
            <w:shd w:val="clear" w:color="auto" w:fill="FFFFFF"/>
            <w:tcMar>
              <w:top w:w="37" w:type="dxa"/>
              <w:left w:w="37" w:type="dxa"/>
              <w:bottom w:w="37" w:type="dxa"/>
              <w:right w:w="37" w:type="dxa"/>
            </w:tcMar>
            <w:hideMark/>
          </w:tcPr>
          <w:p w14:paraId="3EFD0505" w14:textId="6678FB91"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Mã danh pháp, mã hệ thống hài hòa và điều kiện nhập khẩu của một số sản phẩm hỗn hợp, một số hàng hóa và chim cảnh được miễn kiểm soát tại các chốt kiểm soát biên giới, yêu cầu đối với sản phẩm hỗn hợp miễn kiểm soát tại các chốt kiểm soát biên giới</w:t>
            </w:r>
          </w:p>
        </w:tc>
        <w:tc>
          <w:tcPr>
            <w:tcW w:w="5508" w:type="dxa"/>
            <w:shd w:val="clear" w:color="auto" w:fill="FFFFFF"/>
            <w:tcMar>
              <w:top w:w="37" w:type="dxa"/>
              <w:left w:w="37" w:type="dxa"/>
              <w:bottom w:w="37" w:type="dxa"/>
              <w:right w:w="37" w:type="dxa"/>
            </w:tcMar>
          </w:tcPr>
          <w:p w14:paraId="24648B95" w14:textId="77777777" w:rsidR="00963445" w:rsidRPr="00955A01" w:rsidRDefault="00963445" w:rsidP="004D558E">
            <w:pPr>
              <w:pStyle w:val="NormalWeb"/>
              <w:spacing w:before="0" w:beforeAutospacing="0" w:after="0" w:afterAutospacing="0"/>
              <w:jc w:val="both"/>
            </w:pPr>
            <w:r w:rsidRPr="00955A01">
              <w:t xml:space="preserve">Đề xuất trong thông báo G/SPS/N/EU/509 (ngày 27 tháng 9 năm 2021) được thông qua </w:t>
            </w:r>
            <w:r w:rsidRPr="00955A01">
              <w:rPr>
                <w:lang w:val="en-US"/>
              </w:rPr>
              <w:t>theo</w:t>
            </w:r>
            <w:r w:rsidRPr="00955A01">
              <w:t xml:space="preserve"> Quy định của Ủy ban (EU) 2022/887 ngày 28 tháng 3 năm 2022 sửa đổi Quy định (EU) 2019/625 </w:t>
            </w:r>
            <w:r w:rsidRPr="00955A01">
              <w:rPr>
                <w:lang w:val="en-US"/>
              </w:rPr>
              <w:t xml:space="preserve">về mã danh pháp, mã hệ thống hài hòa và điều kiện nhập khẩu </w:t>
            </w:r>
            <w:r w:rsidRPr="00955A01">
              <w:t xml:space="preserve">một số sản phẩm </w:t>
            </w:r>
            <w:r w:rsidRPr="00955A01">
              <w:rPr>
                <w:lang w:val="en-US"/>
              </w:rPr>
              <w:t>hỗn hợp</w:t>
            </w:r>
            <w:r w:rsidRPr="00955A01">
              <w:t xml:space="preserve">, sửa đổi Quy định (EU) </w:t>
            </w:r>
            <w:r w:rsidRPr="00955A01">
              <w:rPr>
                <w:lang w:val="en-US"/>
              </w:rPr>
              <w:t xml:space="preserve">số </w:t>
            </w:r>
            <w:r w:rsidRPr="00955A01">
              <w:t xml:space="preserve">2019/2122 </w:t>
            </w:r>
            <w:r w:rsidRPr="00955A01">
              <w:rPr>
                <w:lang w:val="en-US"/>
              </w:rPr>
              <w:t>về</w:t>
            </w:r>
            <w:r w:rsidRPr="00955A01">
              <w:t xml:space="preserve"> hàng hóa và chim cảnh</w:t>
            </w:r>
            <w:r w:rsidRPr="00955A01">
              <w:rPr>
                <w:lang w:val="en-US"/>
              </w:rPr>
              <w:t xml:space="preserve"> được</w:t>
            </w:r>
            <w:r w:rsidRPr="00955A01">
              <w:t xml:space="preserve"> miễn kiểm soát tại chốt kiểm soát biên giới, sửa đổi Quy định (EU) 2021/630 yêu cầu với sản phẩm </w:t>
            </w:r>
            <w:r w:rsidRPr="00955A01">
              <w:rPr>
                <w:lang w:val="en-US"/>
              </w:rPr>
              <w:t>hỗn hợp</w:t>
            </w:r>
            <w:r w:rsidRPr="00955A01">
              <w:t xml:space="preserve"> miễn kiểm soát tại các chốt kiểm soát biên giới (Văn bản liên quan đến EEA) (OJ L 154, ngày 7 tháng 6 năm 2022, trang 23).</w:t>
            </w:r>
          </w:p>
          <w:p w14:paraId="404BA540" w14:textId="77777777" w:rsidR="00963445" w:rsidRPr="00955A01" w:rsidRDefault="00963445" w:rsidP="004D558E">
            <w:pPr>
              <w:pStyle w:val="NormalWeb"/>
              <w:spacing w:before="0" w:beforeAutospacing="0" w:after="0" w:afterAutospacing="0"/>
              <w:jc w:val="both"/>
            </w:pPr>
            <w:r w:rsidRPr="00955A01">
              <w:t>Quy định sẽ có hiệu lực sau 20 ngày công bố trên Tạp chí của Liên minh châu Âu.</w:t>
            </w:r>
          </w:p>
          <w:p w14:paraId="310F6516" w14:textId="77777777" w:rsidR="00963445" w:rsidRPr="00955A01" w:rsidRDefault="00963445" w:rsidP="004D558E">
            <w:pPr>
              <w:pStyle w:val="NormalWeb"/>
              <w:spacing w:before="0" w:beforeAutospacing="0" w:after="0" w:afterAutospacing="0"/>
              <w:jc w:val="both"/>
            </w:pPr>
            <w:r w:rsidRPr="00955A01">
              <w:t>https://members.wto.org/crnattachments/2022/SPS/EEC/22_4735_00_e.pdf</w:t>
            </w:r>
          </w:p>
          <w:p w14:paraId="36A5D8DB" w14:textId="77777777" w:rsidR="00963445" w:rsidRPr="00955A01" w:rsidRDefault="00963445" w:rsidP="004D558E">
            <w:pPr>
              <w:pStyle w:val="NormalWeb"/>
              <w:spacing w:before="0" w:beforeAutospacing="0" w:after="0" w:afterAutospacing="0"/>
              <w:jc w:val="both"/>
            </w:pPr>
            <w:r w:rsidRPr="00955A01">
              <w:t>https://members.wto.org/crnattachments/2022/SPS/EEC/22_4735_00_f.pdf</w:t>
            </w:r>
          </w:p>
          <w:p w14:paraId="137D1790" w14:textId="77777777" w:rsidR="00963445" w:rsidRPr="00955A01" w:rsidRDefault="00963445" w:rsidP="004D558E">
            <w:pPr>
              <w:pStyle w:val="NormalWeb"/>
              <w:spacing w:before="0" w:beforeAutospacing="0" w:after="0" w:afterAutospacing="0"/>
              <w:jc w:val="both"/>
            </w:pPr>
            <w:r w:rsidRPr="00955A01">
              <w:t>https://members.wto.org/crnattachments/2022/SPS/EEC/22_4735_00_s.pdf</w:t>
            </w:r>
          </w:p>
          <w:p w14:paraId="0BB65874" w14:textId="40FDA629" w:rsidR="00963445" w:rsidRPr="00955A01" w:rsidRDefault="00963445" w:rsidP="004D558E">
            <w:pPr>
              <w:spacing w:after="0" w:line="240" w:lineRule="auto"/>
              <w:jc w:val="both"/>
              <w:rPr>
                <w:rFonts w:ascii="Times New Roman" w:eastAsia="Times New Roman" w:hAnsi="Times New Roman" w:cs="Times New Roman"/>
                <w:sz w:val="24"/>
                <w:szCs w:val="24"/>
              </w:rPr>
            </w:pPr>
            <w:r w:rsidRPr="00955A01">
              <w:rPr>
                <w:rFonts w:ascii="Times New Roman" w:hAnsi="Times New Roman" w:cs="Times New Roman"/>
                <w:sz w:val="24"/>
                <w:szCs w:val="24"/>
              </w:rPr>
              <w:lastRenderedPageBreak/>
              <w:t>Phụ lục liên quan: Thông báo quy định được thông qua, công bố hoặc có hiệu lực</w:t>
            </w:r>
          </w:p>
        </w:tc>
      </w:tr>
      <w:tr w:rsidR="00963445" w:rsidRPr="00955A01" w14:paraId="1D42A87F" w14:textId="77777777" w:rsidTr="004D558E">
        <w:trPr>
          <w:trHeight w:val="562"/>
        </w:trPr>
        <w:tc>
          <w:tcPr>
            <w:tcW w:w="636" w:type="dxa"/>
            <w:shd w:val="clear" w:color="auto" w:fill="FFFFFF"/>
            <w:vAlign w:val="center"/>
          </w:tcPr>
          <w:p w14:paraId="634DCF59"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lastRenderedPageBreak/>
              <w:t>3</w:t>
            </w:r>
          </w:p>
        </w:tc>
        <w:tc>
          <w:tcPr>
            <w:tcW w:w="2082" w:type="dxa"/>
            <w:shd w:val="clear" w:color="auto" w:fill="FFFFFF"/>
            <w:tcMar>
              <w:top w:w="37" w:type="dxa"/>
              <w:left w:w="37" w:type="dxa"/>
              <w:bottom w:w="37" w:type="dxa"/>
              <w:right w:w="37" w:type="dxa"/>
            </w:tcMar>
          </w:tcPr>
          <w:p w14:paraId="3B186FC2" w14:textId="673F1C8E"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G/SPS/N/CAN/1433/</w:t>
            </w:r>
            <w:r w:rsidRPr="00955A01">
              <w:rPr>
                <w:rFonts w:ascii="Times New Roman" w:eastAsia="Times New Roman" w:hAnsi="Times New Roman" w:cs="Times New Roman"/>
                <w:lang w:val="en-US"/>
              </w:rPr>
              <w:br/>
              <w:t>Add.1</w:t>
            </w:r>
          </w:p>
        </w:tc>
        <w:tc>
          <w:tcPr>
            <w:tcW w:w="734" w:type="dxa"/>
            <w:shd w:val="clear" w:color="auto" w:fill="FFFFFF"/>
            <w:tcMar>
              <w:top w:w="37" w:type="dxa"/>
              <w:left w:w="37" w:type="dxa"/>
              <w:bottom w:w="37" w:type="dxa"/>
              <w:right w:w="37" w:type="dxa"/>
            </w:tcMar>
          </w:tcPr>
          <w:p w14:paraId="33844AEE" w14:textId="146B5738"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ATTP, BVTV</w:t>
            </w:r>
          </w:p>
        </w:tc>
        <w:tc>
          <w:tcPr>
            <w:tcW w:w="1078" w:type="dxa"/>
            <w:shd w:val="clear" w:color="auto" w:fill="FFFFFF"/>
            <w:tcMar>
              <w:top w:w="37" w:type="dxa"/>
              <w:left w:w="37" w:type="dxa"/>
              <w:bottom w:w="37" w:type="dxa"/>
              <w:right w:w="37" w:type="dxa"/>
            </w:tcMar>
            <w:hideMark/>
          </w:tcPr>
          <w:p w14:paraId="753B640D" w14:textId="4673D4EC"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Ca-na-đa</w:t>
            </w:r>
          </w:p>
        </w:tc>
        <w:tc>
          <w:tcPr>
            <w:tcW w:w="1255" w:type="dxa"/>
            <w:shd w:val="clear" w:color="auto" w:fill="FFFFFF"/>
            <w:tcMar>
              <w:top w:w="37" w:type="dxa"/>
              <w:left w:w="37" w:type="dxa"/>
              <w:bottom w:w="37" w:type="dxa"/>
              <w:right w:w="37" w:type="dxa"/>
            </w:tcMar>
            <w:hideMark/>
          </w:tcPr>
          <w:p w14:paraId="027A2D87" w14:textId="257CBA1C"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18/07/2022</w:t>
            </w:r>
          </w:p>
        </w:tc>
        <w:tc>
          <w:tcPr>
            <w:tcW w:w="3393" w:type="dxa"/>
            <w:shd w:val="clear" w:color="auto" w:fill="FFFFFF"/>
            <w:tcMar>
              <w:top w:w="37" w:type="dxa"/>
              <w:left w:w="37" w:type="dxa"/>
              <w:bottom w:w="37" w:type="dxa"/>
              <w:right w:w="37" w:type="dxa"/>
            </w:tcMar>
            <w:hideMark/>
          </w:tcPr>
          <w:p w14:paraId="24314F9D" w14:textId="3EC0135F"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Giới hạn dư lượng tối đa: Flutriafol</w:t>
            </w:r>
          </w:p>
        </w:tc>
        <w:tc>
          <w:tcPr>
            <w:tcW w:w="5508" w:type="dxa"/>
            <w:shd w:val="clear" w:color="auto" w:fill="FFFFFF"/>
            <w:tcMar>
              <w:top w:w="37" w:type="dxa"/>
              <w:left w:w="37" w:type="dxa"/>
              <w:bottom w:w="37" w:type="dxa"/>
              <w:right w:w="37" w:type="dxa"/>
            </w:tcMar>
          </w:tcPr>
          <w:p w14:paraId="376D49FE" w14:textId="77777777" w:rsidR="00963445" w:rsidRPr="00955A01" w:rsidRDefault="00963445" w:rsidP="004D558E">
            <w:pPr>
              <w:pStyle w:val="NormalWeb"/>
              <w:spacing w:before="0" w:beforeAutospacing="0" w:after="0" w:afterAutospacing="0"/>
              <w:jc w:val="both"/>
            </w:pPr>
            <w:r w:rsidRPr="00955A01">
              <w:t xml:space="preserve">Tài liệu </w:t>
            </w:r>
            <w:r w:rsidRPr="00955A01">
              <w:rPr>
                <w:lang w:val="en-US"/>
              </w:rPr>
              <w:t xml:space="preserve">mức </w:t>
            </w:r>
            <w:r w:rsidRPr="00955A01">
              <w:t xml:space="preserve">dư lượng tối đa (PMRL) cho flutriafol thông báo trong G/SPS/N/CAN/1433 (ngày 13 tháng 4 năm 2022) được thông qua ngày 11 tháng 7 năm 2022, có </w:t>
            </w:r>
            <w:r w:rsidRPr="00955A01">
              <w:rPr>
                <w:lang w:val="en-US"/>
              </w:rPr>
              <w:t>m</w:t>
            </w:r>
            <w:r w:rsidRPr="00955A01">
              <w:t xml:space="preserve">ức MRL đề xuất </w:t>
            </w:r>
            <w:r w:rsidRPr="00955A01">
              <w:rPr>
                <w:lang w:val="en-US"/>
              </w:rPr>
              <w:t>như bên</w:t>
            </w:r>
            <w:r w:rsidRPr="00955A01">
              <w:t xml:space="preserve"> dưới:</w:t>
            </w:r>
          </w:p>
          <w:tbl>
            <w:tblPr>
              <w:tblStyle w:val="TableGrid"/>
              <w:tblW w:w="5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1"/>
              <w:gridCol w:w="3833"/>
            </w:tblGrid>
            <w:tr w:rsidR="00963445" w:rsidRPr="00955A01" w14:paraId="64FC3609" w14:textId="77777777" w:rsidTr="004D558E">
              <w:tc>
                <w:tcPr>
                  <w:tcW w:w="1641" w:type="dxa"/>
                </w:tcPr>
                <w:p w14:paraId="76BC5A48" w14:textId="77777777" w:rsidR="00963445" w:rsidRPr="00955A01" w:rsidRDefault="00963445" w:rsidP="004D558E">
                  <w:pPr>
                    <w:pStyle w:val="NormalWeb"/>
                    <w:spacing w:before="0" w:beforeAutospacing="0" w:after="0" w:afterAutospacing="0"/>
                    <w:jc w:val="both"/>
                  </w:pPr>
                  <w:r w:rsidRPr="00955A01">
                    <w:t>MRL (ppm)</w:t>
                  </w:r>
                  <w:r w:rsidRPr="00955A01">
                    <w:rPr>
                      <w:vertAlign w:val="superscript"/>
                    </w:rPr>
                    <w:t>1</w:t>
                  </w:r>
                </w:p>
              </w:tc>
              <w:tc>
                <w:tcPr>
                  <w:tcW w:w="3833" w:type="dxa"/>
                </w:tcPr>
                <w:p w14:paraId="32E06129" w14:textId="77777777" w:rsidR="00963445" w:rsidRPr="00955A01" w:rsidRDefault="00963445" w:rsidP="004D558E">
                  <w:pPr>
                    <w:pStyle w:val="NormalWeb"/>
                    <w:spacing w:before="0" w:beforeAutospacing="0" w:after="0" w:afterAutospacing="0"/>
                    <w:jc w:val="both"/>
                  </w:pPr>
                  <w:r w:rsidRPr="00955A01">
                    <w:t>Nông sản thô (RAC) và nông sản đã qua chế biến</w:t>
                  </w:r>
                </w:p>
              </w:tc>
            </w:tr>
            <w:tr w:rsidR="00963445" w:rsidRPr="00955A01" w14:paraId="6F1176DC" w14:textId="77777777" w:rsidTr="004D558E">
              <w:tc>
                <w:tcPr>
                  <w:tcW w:w="1641" w:type="dxa"/>
                </w:tcPr>
                <w:p w14:paraId="3AB1F6CC" w14:textId="77777777" w:rsidR="00963445" w:rsidRPr="00955A01" w:rsidRDefault="00963445" w:rsidP="004D558E">
                  <w:pPr>
                    <w:pStyle w:val="NormalWeb"/>
                    <w:spacing w:before="0" w:beforeAutospacing="0" w:after="0" w:afterAutospacing="0"/>
                    <w:jc w:val="both"/>
                  </w:pPr>
                  <w:r w:rsidRPr="00955A01">
                    <w:t>20</w:t>
                  </w:r>
                </w:p>
              </w:tc>
              <w:tc>
                <w:tcPr>
                  <w:tcW w:w="3833" w:type="dxa"/>
                </w:tcPr>
                <w:p w14:paraId="5855CFCB" w14:textId="77777777" w:rsidR="00963445" w:rsidRPr="00955A01" w:rsidRDefault="00963445" w:rsidP="004D558E">
                  <w:pPr>
                    <w:pStyle w:val="NormalWeb"/>
                    <w:spacing w:before="0" w:beforeAutospacing="0" w:after="0" w:afterAutospacing="0"/>
                    <w:jc w:val="both"/>
                  </w:pPr>
                  <w:r w:rsidRPr="00955A01">
                    <w:t>Hoa bia (khô)</w:t>
                  </w:r>
                </w:p>
              </w:tc>
            </w:tr>
            <w:tr w:rsidR="00963445" w:rsidRPr="00955A01" w14:paraId="478371BD" w14:textId="77777777" w:rsidTr="004D558E">
              <w:tc>
                <w:tcPr>
                  <w:tcW w:w="1641" w:type="dxa"/>
                </w:tcPr>
                <w:p w14:paraId="0C09C724" w14:textId="77777777" w:rsidR="00963445" w:rsidRPr="00955A01" w:rsidRDefault="00963445" w:rsidP="004D558E">
                  <w:pPr>
                    <w:pStyle w:val="NormalWeb"/>
                    <w:spacing w:before="0" w:beforeAutospacing="0" w:after="0" w:afterAutospacing="0"/>
                    <w:jc w:val="both"/>
                  </w:pPr>
                  <w:r w:rsidRPr="00955A01">
                    <w:t>0,6</w:t>
                  </w:r>
                </w:p>
              </w:tc>
              <w:tc>
                <w:tcPr>
                  <w:tcW w:w="3833" w:type="dxa"/>
                </w:tcPr>
                <w:p w14:paraId="6E29753C" w14:textId="77777777" w:rsidR="00963445" w:rsidRPr="00955A01" w:rsidRDefault="00963445" w:rsidP="004D558E">
                  <w:pPr>
                    <w:pStyle w:val="NormalWeb"/>
                    <w:spacing w:before="0" w:beforeAutospacing="0" w:after="0" w:afterAutospacing="0"/>
                    <w:jc w:val="both"/>
                  </w:pPr>
                  <w:r w:rsidRPr="00955A01">
                    <w:t>Hạt hạnh nhân</w:t>
                  </w:r>
                </w:p>
              </w:tc>
            </w:tr>
          </w:tbl>
          <w:p w14:paraId="18AF2BB7" w14:textId="77777777" w:rsidR="00963445" w:rsidRPr="00955A01" w:rsidRDefault="00963445" w:rsidP="004D558E">
            <w:pPr>
              <w:pStyle w:val="NormalWeb"/>
              <w:spacing w:before="0" w:beforeAutospacing="0" w:after="0" w:afterAutospacing="0"/>
              <w:jc w:val="both"/>
            </w:pPr>
            <w:r w:rsidRPr="00955A01">
              <w:rPr>
                <w:vertAlign w:val="superscript"/>
              </w:rPr>
              <w:t xml:space="preserve">1 </w:t>
            </w:r>
            <w:r w:rsidRPr="00955A01">
              <w:t>ppm = phần triệu</w:t>
            </w:r>
          </w:p>
          <w:p w14:paraId="132CCCF9" w14:textId="77777777" w:rsidR="00963445" w:rsidRPr="00955A01" w:rsidRDefault="00963445" w:rsidP="004D558E">
            <w:pPr>
              <w:pStyle w:val="NormalWeb"/>
              <w:spacing w:before="0" w:beforeAutospacing="0" w:after="0" w:afterAutospacing="0"/>
              <w:jc w:val="both"/>
            </w:pPr>
            <w:r w:rsidRPr="00955A01">
              <w:t>Mức MRL của Ca-na-đa hiện có trên Cơ sở dữ liệu mức dư lượng tối đa của Bộ Y tế Ca-na-đa (</w:t>
            </w:r>
            <w:hyperlink r:id="rId6" w:history="1">
              <w:r w:rsidRPr="00955A01">
                <w:rPr>
                  <w:rStyle w:val="Hyperlink"/>
                  <w:color w:val="auto"/>
                </w:rPr>
                <w:t>https://pest-control.canada.ca/pesticide-registry/en/disclaimer-page.html</w:t>
              </w:r>
            </w:hyperlink>
            <w:r w:rsidRPr="00955A01">
              <w:t>), trên trang web Mức giới hạn dư lượng thuốc BVTV (https: //www.canada.ca/en/healthcanada/services/consumer-product-safety/pesticides-pest-management/public/protecting-yourhealth-enosystem/pesticides-food/maximum-residue-limits-pesticides.html). Cơ sở dữ liệu này cho phép người dùng tìm kiếm các loại thuốc trừ sâu hoặc thực phẩm.</w:t>
            </w:r>
          </w:p>
          <w:p w14:paraId="12C7FD07" w14:textId="38C0167E" w:rsidR="00963445" w:rsidRPr="00955A01" w:rsidRDefault="00963445" w:rsidP="004D558E">
            <w:pPr>
              <w:pStyle w:val="NormalWeb"/>
              <w:spacing w:before="0" w:beforeAutospacing="0" w:after="0" w:afterAutospacing="0"/>
              <w:jc w:val="both"/>
            </w:pPr>
            <w:r w:rsidRPr="00955A01">
              <w:t>Phụ lục liên quan: Thông báo quy định được thông qua, công bố hoặc có hiệu lực</w:t>
            </w:r>
          </w:p>
        </w:tc>
      </w:tr>
      <w:tr w:rsidR="00955A01" w:rsidRPr="00955A01" w14:paraId="34FA3CCA" w14:textId="77777777" w:rsidTr="00351FFC">
        <w:trPr>
          <w:trHeight w:val="562"/>
        </w:trPr>
        <w:tc>
          <w:tcPr>
            <w:tcW w:w="636" w:type="dxa"/>
            <w:shd w:val="clear" w:color="auto" w:fill="FFFFFF"/>
            <w:vAlign w:val="center"/>
          </w:tcPr>
          <w:p w14:paraId="2146D765"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t>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5C20D91" w14:textId="625A4BF7" w:rsidR="00963445" w:rsidRPr="00955A01" w:rsidRDefault="00963445" w:rsidP="004D558E">
            <w:pPr>
              <w:spacing w:after="0" w:line="240" w:lineRule="auto"/>
              <w:jc w:val="center"/>
              <w:rPr>
                <w:rFonts w:ascii="Times New Roman" w:eastAsia="Times New Roman" w:hAnsi="Times New Roman" w:cs="Times New Roman"/>
                <w:lang w:val="fr-FR"/>
              </w:rPr>
            </w:pPr>
            <w:r w:rsidRPr="00955A01">
              <w:rPr>
                <w:rFonts w:ascii="Times New Roman" w:eastAsia="Times New Roman" w:hAnsi="Times New Roman" w:cs="Times New Roman"/>
                <w:lang w:val="fr-FR"/>
              </w:rPr>
              <w:t>G/SPS/N/EU/513/</w:t>
            </w:r>
            <w:r w:rsidRPr="00955A01">
              <w:rPr>
                <w:rFonts w:ascii="Times New Roman" w:eastAsia="Times New Roman" w:hAnsi="Times New Roman" w:cs="Times New Roman"/>
                <w:lang w:val="fr-FR"/>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08F3F47" w14:textId="3E6DEF61"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BVTV, TY, QLCL</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27B6B32" w14:textId="019584AB"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3CC464B" w14:textId="456E47ED"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13/7/2022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EB158A8" w14:textId="12999974"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Danh sách các loài ngoại lai xâm hại mà Liên minh châu Âu quan tâm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6E03CFE" w14:textId="77777777" w:rsidR="00963445" w:rsidRPr="00955A01" w:rsidRDefault="00963445" w:rsidP="004D558E">
            <w:pPr>
              <w:pStyle w:val="NormalWeb"/>
              <w:spacing w:before="0" w:beforeAutospacing="0" w:after="0" w:afterAutospacing="0"/>
              <w:jc w:val="both"/>
            </w:pPr>
            <w:r w:rsidRPr="00955A01">
              <w:t>Đề xuất được thông báo trong G/SPS/N/EU/513 (ngày 28 tháng 10 năm 2021) hiện đã được Quy định thực thi (EU) số 2022/1203 thông qua ngày 12 tháng 7 năm 2022 sửa đổi Quy định thực thi (EU) số 2016/1141 để cập nhật danh sách xâm phạm các loài ngoại lai mà Liên minh quan tâm (OJ L 186, ngày 13 tháng 7 năm 2022, trang 10).</w:t>
            </w:r>
          </w:p>
          <w:p w14:paraId="3390906D" w14:textId="77777777" w:rsidR="00963445" w:rsidRPr="00955A01" w:rsidRDefault="00963445" w:rsidP="004D558E">
            <w:pPr>
              <w:pStyle w:val="NormalWeb"/>
              <w:spacing w:before="0" w:beforeAutospacing="0" w:after="0" w:afterAutospacing="0"/>
              <w:jc w:val="both"/>
            </w:pPr>
            <w:r w:rsidRPr="00955A01">
              <w:lastRenderedPageBreak/>
              <w:t>Quy định này sẽ có hiệu lực vào ngày thứ 20 sau khi được công bố trên Tạp chí chính thức của Liên minh Châu Âu. https://members.wto.org/crnattachments/2022/SPS/EEC/22_4654_00_e.pdf</w:t>
            </w:r>
          </w:p>
          <w:p w14:paraId="4C016942" w14:textId="77777777" w:rsidR="00963445" w:rsidRPr="00955A01" w:rsidRDefault="00963445" w:rsidP="004D558E">
            <w:pPr>
              <w:pStyle w:val="NormalWeb"/>
              <w:spacing w:before="0" w:beforeAutospacing="0" w:after="0" w:afterAutospacing="0"/>
              <w:jc w:val="both"/>
            </w:pPr>
            <w:r w:rsidRPr="00955A01">
              <w:t>https://members.wto.org/crnattachments/2022/SPS/EEC/22_4654_00_f.pdf</w:t>
            </w:r>
          </w:p>
          <w:p w14:paraId="6D2FE3A3" w14:textId="77777777" w:rsidR="00963445" w:rsidRPr="00955A01" w:rsidRDefault="00963445" w:rsidP="004D558E">
            <w:pPr>
              <w:pStyle w:val="NormalWeb"/>
              <w:spacing w:before="0" w:beforeAutospacing="0" w:after="0" w:afterAutospacing="0"/>
              <w:jc w:val="both"/>
            </w:pPr>
            <w:r w:rsidRPr="00955A01">
              <w:t>https://members.wto.org/crnattachments/2022/SPS/EEC/22_4654_00_s.pdf</w:t>
            </w:r>
          </w:p>
          <w:p w14:paraId="46C5FFFC" w14:textId="613CDC2C" w:rsidR="00963445" w:rsidRPr="00955A01" w:rsidRDefault="00963445" w:rsidP="004D558E">
            <w:pPr>
              <w:pStyle w:val="NormalWeb"/>
              <w:shd w:val="clear" w:color="auto" w:fill="FFFFFF"/>
              <w:spacing w:before="0" w:beforeAutospacing="0" w:after="0" w:afterAutospacing="0"/>
              <w:jc w:val="both"/>
            </w:pPr>
            <w:r w:rsidRPr="00955A01">
              <w:t>Nội dung chính của phụ lục: Thông báo về việc thông qua, công bố hoặc có hiệu lực của quy định</w:t>
            </w:r>
          </w:p>
        </w:tc>
      </w:tr>
      <w:tr w:rsidR="00955A01" w:rsidRPr="00955A01" w14:paraId="4CF110A0" w14:textId="77777777" w:rsidTr="00351FFC">
        <w:trPr>
          <w:trHeight w:val="562"/>
        </w:trPr>
        <w:tc>
          <w:tcPr>
            <w:tcW w:w="636" w:type="dxa"/>
            <w:shd w:val="clear" w:color="auto" w:fill="FFFFFF"/>
            <w:vAlign w:val="center"/>
          </w:tcPr>
          <w:p w14:paraId="7EFAEDD7"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lastRenderedPageBreak/>
              <w:t>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B8356D9" w14:textId="57B82F5A"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G/SPS/N/TPKM/581/</w:t>
            </w:r>
            <w:r w:rsidRPr="00955A01">
              <w:rPr>
                <w:rFonts w:ascii="Times New Roman" w:eastAsia="Times New Roman" w:hAnsi="Times New Roman" w:cs="Times New Roman"/>
                <w:lang w:val="en-US"/>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8A7CBDF" w14:textId="4A67202E" w:rsidR="00963445" w:rsidRPr="00955A01" w:rsidRDefault="00963445" w:rsidP="004D558E">
            <w:pPr>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84532C1" w14:textId="4C3FA2B9"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Đài 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1B902FB" w14:textId="36142CB0"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11/7/2022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1B45476" w14:textId="75B7CD0E"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Sản phẩm thịt gia súc, gia cầm nhập khẩu dùng làm thực phẩm phải có giấy chứng nhận sức khỏe chính thức do cơ quan có thẩm quyền của nước xuất khẩu cấp.</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BDCA1B4" w14:textId="77777777" w:rsidR="00963445" w:rsidRPr="00955A01" w:rsidRDefault="00963445" w:rsidP="004D558E">
            <w:pPr>
              <w:pStyle w:val="NormalWeb"/>
              <w:spacing w:before="0" w:beforeAutospacing="0" w:after="0" w:afterAutospacing="0"/>
              <w:jc w:val="both"/>
            </w:pPr>
            <w:r w:rsidRPr="00955A01">
              <w:t>Sản phẩm thịt gia súc, gia cầm nhập khẩu phải có giấy chứng nhận sức khỏe chính thức do cơ quan có thẩm quyền của nước xuất khẩu cấp.</w:t>
            </w:r>
          </w:p>
          <w:p w14:paraId="1A345AA6" w14:textId="77777777" w:rsidR="00963445" w:rsidRPr="00955A01" w:rsidRDefault="00963445" w:rsidP="004D558E">
            <w:pPr>
              <w:pStyle w:val="NormalWeb"/>
              <w:spacing w:before="0" w:beforeAutospacing="0" w:after="0" w:afterAutospacing="0"/>
              <w:jc w:val="both"/>
            </w:pPr>
            <w:r w:rsidRPr="00955A01">
              <w:t>https://members.wto.org/crnattachments/2022/SPS/TPKM/22_4587_00_x.pdf</w:t>
            </w:r>
          </w:p>
          <w:p w14:paraId="06141EDF" w14:textId="65864721" w:rsidR="00963445" w:rsidRPr="00955A01" w:rsidRDefault="00963445" w:rsidP="004D558E">
            <w:pPr>
              <w:pStyle w:val="NormalWeb"/>
              <w:shd w:val="clear" w:color="auto" w:fill="FFFFFF"/>
              <w:spacing w:before="0" w:beforeAutospacing="0" w:after="0" w:afterAutospacing="0"/>
              <w:jc w:val="both"/>
            </w:pPr>
            <w:r w:rsidRPr="00955A01">
              <w:t>Nội dung chính của phụ lục: Thông báo về việc thông qua, công bố hoặc có hiệu lực của quy định</w:t>
            </w:r>
          </w:p>
        </w:tc>
      </w:tr>
      <w:tr w:rsidR="00955A01" w:rsidRPr="00955A01" w14:paraId="4AA67A49" w14:textId="77777777" w:rsidTr="00EF32DC">
        <w:trPr>
          <w:trHeight w:val="562"/>
        </w:trPr>
        <w:tc>
          <w:tcPr>
            <w:tcW w:w="636" w:type="dxa"/>
            <w:shd w:val="clear" w:color="auto" w:fill="FFFFFF"/>
            <w:vAlign w:val="center"/>
          </w:tcPr>
          <w:p w14:paraId="5717AC21"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t>6</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2335E4E" w14:textId="4D1B19FF"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G/SPS/N/CAN/1084/</w:t>
            </w:r>
            <w:r w:rsidRPr="00955A01">
              <w:rPr>
                <w:rFonts w:ascii="Times New Roman" w:eastAsia="Times New Roman" w:hAnsi="Times New Roman" w:cs="Times New Roman"/>
                <w:lang w:val="en-US"/>
              </w:rPr>
              <w:br/>
              <w:t>Rev.1/Add.1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7B5BAE4" w14:textId="41D6415E"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1CF8D87" w14:textId="4F3613E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Ca-na-đa</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2753F92" w14:textId="54820823"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08/7/2022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714A179" w14:textId="70C10AB7"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Thực phẩm đổi mới (Trước đây là hiện đại hóa việc ghi nhãn thực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7E2E326" w14:textId="77777777" w:rsidR="00963445" w:rsidRPr="00955A01" w:rsidRDefault="00963445" w:rsidP="004D558E">
            <w:pPr>
              <w:pStyle w:val="NormalWeb"/>
              <w:spacing w:before="0" w:beforeAutospacing="0" w:after="0" w:afterAutospacing="0"/>
              <w:jc w:val="both"/>
            </w:pPr>
            <w:r w:rsidRPr="00955A01">
              <w:t>Cơ quan kiểm tra thực phẩm Ca-na-đa (CFIA) thông báo cho các nước thành viên theo thông báo số G/SPS/N/CAN/1084/Rev.1 ngày 25 tháng 6 năm 2019 về việc tham vấn toàn dân các quy định đề xuất việc ghi nhãn thực phẩm, đóng gói sẵn ở Ca-na-đa. Do đại dịch COVID-19, CFIA đã điều chỉnh quy định dưới tên Thực phẩm đổi mới, bao gồm:</w:t>
            </w:r>
          </w:p>
          <w:p w14:paraId="5631118E" w14:textId="77777777" w:rsidR="00963445" w:rsidRPr="00955A01" w:rsidRDefault="00963445" w:rsidP="004D558E">
            <w:pPr>
              <w:pStyle w:val="NormalWeb"/>
              <w:spacing w:before="0" w:beforeAutospacing="0" w:after="0" w:afterAutospacing="0"/>
              <w:jc w:val="both"/>
            </w:pPr>
            <w:r w:rsidRPr="00955A01">
              <w:t>- Bãi bỏ một số kích thước container tiêu chuẩn;</w:t>
            </w:r>
          </w:p>
          <w:p w14:paraId="337B4C07" w14:textId="77777777" w:rsidR="00963445" w:rsidRPr="00955A01" w:rsidRDefault="00963445" w:rsidP="004D558E">
            <w:pPr>
              <w:pStyle w:val="NormalWeb"/>
              <w:spacing w:before="0" w:beforeAutospacing="0" w:after="0" w:afterAutospacing="0"/>
              <w:jc w:val="both"/>
            </w:pPr>
            <w:r w:rsidRPr="00955A01">
              <w:t>- Hợp nhất một số quy định bằng việc tham khảo kích thước container tiêu chuẩn;</w:t>
            </w:r>
          </w:p>
          <w:p w14:paraId="1C208169" w14:textId="77777777" w:rsidR="00963445" w:rsidRPr="00955A01" w:rsidRDefault="00963445" w:rsidP="004D558E">
            <w:pPr>
              <w:pStyle w:val="NormalWeb"/>
              <w:spacing w:before="0" w:beforeAutospacing="0" w:after="0" w:afterAutospacing="0"/>
              <w:jc w:val="both"/>
            </w:pPr>
            <w:r w:rsidRPr="00955A01">
              <w:t>- Hợp nhất một số tên lớp;</w:t>
            </w:r>
          </w:p>
          <w:p w14:paraId="26115CF5" w14:textId="77777777" w:rsidR="00963445" w:rsidRPr="00955A01" w:rsidRDefault="00963445" w:rsidP="004D558E">
            <w:pPr>
              <w:pStyle w:val="NormalWeb"/>
              <w:spacing w:before="0" w:beforeAutospacing="0" w:after="0" w:afterAutospacing="0"/>
              <w:jc w:val="both"/>
            </w:pPr>
            <w:r w:rsidRPr="00955A01">
              <w:t>- Cập nhật định nghĩa thực phẩm thử nghiệm đưa ra thị trường;</w:t>
            </w:r>
          </w:p>
          <w:p w14:paraId="0327E53F" w14:textId="77777777" w:rsidR="00963445" w:rsidRPr="00955A01" w:rsidRDefault="00963445" w:rsidP="004D558E">
            <w:pPr>
              <w:pStyle w:val="NormalWeb"/>
              <w:spacing w:before="0" w:beforeAutospacing="0" w:after="0" w:afterAutospacing="0"/>
              <w:jc w:val="both"/>
            </w:pPr>
            <w:r w:rsidRPr="00955A01">
              <w:lastRenderedPageBreak/>
              <w:t>- Hài hòa hóa, sắp xếp một cách hợp lý các yêu cầu ghi nhãn thực phẩm.</w:t>
            </w:r>
          </w:p>
          <w:p w14:paraId="2C9244E1" w14:textId="77777777" w:rsidR="00963445" w:rsidRPr="00955A01" w:rsidRDefault="00963445" w:rsidP="004D558E">
            <w:pPr>
              <w:pStyle w:val="NormalWeb"/>
              <w:spacing w:before="0" w:beforeAutospacing="0" w:after="0" w:afterAutospacing="0"/>
              <w:jc w:val="both"/>
            </w:pPr>
            <w:r w:rsidRPr="00955A01">
              <w:t>Những thay đổi này không tạo ra bất cứ thay đổi liên quan đến nhãn thực phẩm. Những thay đổi này không ảnh hưởng đến việc kiểm tra (tần suất kiiểm tra, các mặt hàng bị kiểm tra hoặc cách thức kiểm tra).</w:t>
            </w:r>
          </w:p>
          <w:p w14:paraId="02693EEA" w14:textId="77777777" w:rsidR="00963445" w:rsidRPr="00955A01" w:rsidRDefault="00963445" w:rsidP="004D558E">
            <w:pPr>
              <w:pStyle w:val="NormalWeb"/>
              <w:spacing w:before="0" w:beforeAutospacing="0" w:after="0" w:afterAutospacing="0"/>
              <w:jc w:val="both"/>
            </w:pPr>
            <w:r w:rsidRPr="00955A01">
              <w:t>Thay đổi có hiệu lực ngày 6 tháng 7 năm 2022.</w:t>
            </w:r>
          </w:p>
          <w:p w14:paraId="4D838C34" w14:textId="1A9F52F4" w:rsidR="00963445" w:rsidRPr="00955A01" w:rsidRDefault="00963445" w:rsidP="004D558E">
            <w:pPr>
              <w:pStyle w:val="NormalWeb"/>
              <w:spacing w:before="0" w:beforeAutospacing="0" w:after="0" w:afterAutospacing="0"/>
              <w:jc w:val="both"/>
            </w:pPr>
            <w:r w:rsidRPr="00955A01">
              <w:t>Phụ lục liên quan: Thông báo quy định được thông qua, công bố hoặc có hiệu lực.</w:t>
            </w:r>
          </w:p>
        </w:tc>
      </w:tr>
      <w:tr w:rsidR="00955A01" w:rsidRPr="00955A01" w14:paraId="5C939252" w14:textId="77777777" w:rsidTr="00EF32DC">
        <w:trPr>
          <w:trHeight w:val="562"/>
        </w:trPr>
        <w:tc>
          <w:tcPr>
            <w:tcW w:w="636" w:type="dxa"/>
            <w:shd w:val="clear" w:color="auto" w:fill="FFFFFF"/>
            <w:vAlign w:val="center"/>
          </w:tcPr>
          <w:p w14:paraId="6FAE22BA"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lastRenderedPageBreak/>
              <w:t>7</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6771C1B" w14:textId="48849053"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G/SPS/N/AUS/502/</w:t>
            </w:r>
            <w:r w:rsidRPr="00955A01">
              <w:rPr>
                <w:rFonts w:ascii="Times New Roman" w:eastAsia="Times New Roman" w:hAnsi="Times New Roman" w:cs="Times New Roman"/>
                <w:lang w:val="en-US"/>
              </w:rPr>
              <w:br/>
              <w:t>Add.18</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27DE5E4" w14:textId="7557F784"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F6DCED6"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Úc</w:t>
            </w:r>
          </w:p>
          <w:p w14:paraId="52E92A81" w14:textId="4ABF7EBC"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6106610" w14:textId="21C38F6C"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08/7/2022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E284D6D" w14:textId="5298558E"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Thông báo về các biện pháp khẩn cấp đối với mọt cứng đốt (Khapra)</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4826D39" w14:textId="77777777" w:rsidR="00963445" w:rsidRPr="00955A01" w:rsidRDefault="00963445" w:rsidP="004D558E">
            <w:pPr>
              <w:pStyle w:val="NormalWeb"/>
              <w:spacing w:before="0" w:beforeAutospacing="0" w:after="0" w:afterAutospacing="0"/>
              <w:jc w:val="both"/>
            </w:pPr>
            <w:r w:rsidRPr="00955A01">
              <w:t>Vào tháng 8 năm 2020, Úc đã thông báo cho các đối tác thương mại thông qua hệ thống thông báo WTO-SPS (G/SPS/N/AUS/502) dự định thực thi biện pháp khẩn cấp theo từng giai đoạn để bảo vệ Úc trước sự xâm nhập, phát triển và lây lan của mọt cứng đốt (Trogoderma granarium) thông qua nhiều con đường khác nhau. Úc cũng ban hành các thông báo: G/SPS/N/AUS/502/Add.1, Add.2, Add.9, Add.13, Add.14, Add.15 trước khi thực hiện từng giai đoạn các biện pháp khẩn cấp.</w:t>
            </w:r>
          </w:p>
          <w:p w14:paraId="5AA50A82" w14:textId="77777777" w:rsidR="00963445" w:rsidRPr="00955A01" w:rsidRDefault="00963445" w:rsidP="004D558E">
            <w:pPr>
              <w:pStyle w:val="NormalWeb"/>
              <w:spacing w:before="0" w:beforeAutospacing="0" w:after="0" w:afterAutospacing="0"/>
              <w:jc w:val="both"/>
            </w:pPr>
            <w:r w:rsidRPr="00955A01">
              <w:t>Phụ lục thông báo cho các đối tác thương mại của Úc, vào ngày 07 tháng 7 năm 2022, Úc sẽ bắt đầu phân tích rủi ro dịch hại (PRA) đánh giá các rủi ro mọt cứng đốt khapra (Trogoderma granarium) gây ra thông qua nhiều con đường khác nhau, đánh giá hiệu quả của các biện pháp khẩn cấp, đánh giá tính hiệu quả của biện pháp KDTV, đảm bảo biện pháp KDTV đang thực hiện đều được có bằng chứng khoa học.</w:t>
            </w:r>
          </w:p>
          <w:p w14:paraId="0890FF29" w14:textId="77777777" w:rsidR="00963445" w:rsidRPr="00955A01" w:rsidRDefault="00963445" w:rsidP="004D558E">
            <w:pPr>
              <w:pStyle w:val="NormalWeb"/>
              <w:spacing w:before="0" w:beforeAutospacing="0" w:after="0" w:afterAutospacing="0"/>
              <w:jc w:val="both"/>
            </w:pPr>
            <w:r w:rsidRPr="00955A01">
              <w:t xml:space="preserve">Thông báo để các đối tác thương mại của Úc cung cấp thông tin, bằng chứng khoa học, về tình trạng của mọt cứng đốt khapra ở quốc gia các nước thành viên nhằm hỗ trợ Úc tiến hành phân tích nguy cơ dịch hại. Thông tin và bằng chứng tình trạng dịch hại phải phù hợp với </w:t>
            </w:r>
            <w:r w:rsidRPr="00955A01">
              <w:lastRenderedPageBreak/>
              <w:t>ISPM 8.</w:t>
            </w:r>
          </w:p>
          <w:p w14:paraId="3D998AE2" w14:textId="77777777" w:rsidR="00963445" w:rsidRPr="00955A01" w:rsidRDefault="00963445" w:rsidP="004D558E">
            <w:pPr>
              <w:pStyle w:val="NormalWeb"/>
              <w:spacing w:before="0" w:beforeAutospacing="0" w:after="0" w:afterAutospacing="0"/>
              <w:jc w:val="both"/>
            </w:pPr>
            <w:r w:rsidRPr="00955A01">
              <w:t>Úc sẽ áp dụng các biện pháp khẩn cấp đối với mọt cứng đốt khapra và các loài Trogoderma khác có liên quan đến an toàn sinh học liên quan đến các sản phẩm thực vật lưu trữ cho đến khi hoàn thành phân tích nguy cơ dịch hại và cho đến khi cáckhuyến nghị về biện pháp KDTV được ban hành.</w:t>
            </w:r>
          </w:p>
          <w:p w14:paraId="7B2F31B9" w14:textId="4671C26A" w:rsidR="00963445" w:rsidRPr="00955A01" w:rsidRDefault="00963445" w:rsidP="004D558E">
            <w:pPr>
              <w:spacing w:after="0" w:line="240" w:lineRule="auto"/>
              <w:jc w:val="both"/>
              <w:rPr>
                <w:rFonts w:ascii="Times New Roman" w:eastAsia="Times New Roman" w:hAnsi="Times New Roman" w:cs="Times New Roman"/>
                <w:sz w:val="24"/>
                <w:szCs w:val="24"/>
              </w:rPr>
            </w:pPr>
            <w:r w:rsidRPr="00955A01">
              <w:rPr>
                <w:rFonts w:ascii="Times New Roman" w:hAnsi="Times New Roman" w:cs="Times New Roman"/>
                <w:sz w:val="24"/>
                <w:szCs w:val="24"/>
              </w:rPr>
              <w:t xml:space="preserve">Phụ lục liên quan: Thông tin bổ sung khi phân tích nguy cơ dịch hại đối với </w:t>
            </w:r>
            <w:r w:rsidRPr="00955A01">
              <w:rPr>
                <w:rFonts w:ascii="Times New Roman" w:eastAsia="Times New Roman" w:hAnsi="Times New Roman" w:cs="Times New Roman"/>
                <w:sz w:val="24"/>
                <w:szCs w:val="24"/>
              </w:rPr>
              <w:t xml:space="preserve">mọt cứng đốt </w:t>
            </w:r>
            <w:r w:rsidRPr="00955A01">
              <w:rPr>
                <w:rFonts w:ascii="Times New Roman" w:hAnsi="Times New Roman" w:cs="Times New Roman"/>
                <w:sz w:val="24"/>
                <w:szCs w:val="24"/>
              </w:rPr>
              <w:t>Khapra.</w:t>
            </w:r>
          </w:p>
        </w:tc>
      </w:tr>
      <w:tr w:rsidR="00955A01" w:rsidRPr="00955A01" w14:paraId="69A6EE72" w14:textId="77777777" w:rsidTr="00EF32DC">
        <w:trPr>
          <w:trHeight w:val="648"/>
        </w:trPr>
        <w:tc>
          <w:tcPr>
            <w:tcW w:w="636" w:type="dxa"/>
            <w:shd w:val="clear" w:color="auto" w:fill="FFFFFF"/>
            <w:vAlign w:val="center"/>
          </w:tcPr>
          <w:p w14:paraId="24614768"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lastRenderedPageBreak/>
              <w:t>8</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2FD1EAC" w14:textId="18EAE1E7"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G/SPS/N/TPKM/584/</w:t>
            </w:r>
            <w:r w:rsidRPr="00955A01">
              <w:rPr>
                <w:rFonts w:ascii="Times New Roman" w:eastAsia="Times New Roman" w:hAnsi="Times New Roman" w:cs="Times New Roman"/>
                <w:lang w:val="en-US"/>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38E87AD" w14:textId="597B031F"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DF7AD80" w14:textId="28917952"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 xml:space="preserve">Đài </w:t>
            </w:r>
            <w:r w:rsidR="00830A8E">
              <w:rPr>
                <w:rFonts w:ascii="Times New Roman" w:eastAsia="Times New Roman" w:hAnsi="Times New Roman" w:cs="Times New Roman"/>
                <w:sz w:val="24"/>
                <w:szCs w:val="24"/>
                <w:lang w:val="en-US"/>
              </w:rPr>
              <w:t>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1C7BD12" w14:textId="40B51745"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6AD56E0" w14:textId="0C6D5A63"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Thực phẩm, phụ gia thực phẩm, dụng cụ, hộp đựng hoặc bao bì phân loại theo 13 mã CCC</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0A20E9E" w14:textId="77777777" w:rsidR="00963445" w:rsidRPr="00955A01" w:rsidRDefault="00963445" w:rsidP="004D558E">
            <w:pPr>
              <w:pStyle w:val="NormalWeb"/>
              <w:spacing w:before="0" w:beforeAutospacing="0" w:after="0" w:afterAutospacing="0"/>
              <w:jc w:val="both"/>
            </w:pPr>
            <w:r w:rsidRPr="00955A01">
              <w:t>Dự thảo Thực phẩm, phụ gia thực phẩm, dụng cụ, hộp đựng hoặc bao bì phân loại theo 13 mã CCC trong thông báo G/SPS/N/TPKM/584 vào ngày 21 tháng 2 năm 2022, đã thông qua và ban hành ngày 29 tháng 6 năm 2022 sẽ có hiệu lực ngày 01 tháng 8 năm 2022.</w:t>
            </w:r>
          </w:p>
          <w:p w14:paraId="5417899B" w14:textId="77777777" w:rsidR="00963445" w:rsidRPr="00955A01" w:rsidRDefault="00963445" w:rsidP="004D558E">
            <w:pPr>
              <w:pStyle w:val="NormalWeb"/>
              <w:spacing w:before="0" w:beforeAutospacing="0" w:after="0" w:afterAutospacing="0"/>
              <w:jc w:val="both"/>
            </w:pPr>
            <w:r w:rsidRPr="00955A01">
              <w:t>Hàng hóa được phân loại theo 13 mã CCC cần tuân thủ “Quy định kiểm tra thực phẩm nhập khẩu và sản phẩm liên quan" nếu hàng hóa là thực phẩm, phụ gia thực phẩm, dụng cụ, hộp đựng hoặc bao bì.</w:t>
            </w:r>
          </w:p>
          <w:p w14:paraId="2606E0B8" w14:textId="77777777" w:rsidR="00963445" w:rsidRPr="00955A01" w:rsidRDefault="00963445" w:rsidP="004D558E">
            <w:pPr>
              <w:pStyle w:val="NormalWeb"/>
              <w:spacing w:before="0" w:beforeAutospacing="0" w:after="0" w:afterAutospacing="0"/>
              <w:jc w:val="both"/>
            </w:pPr>
            <w:r w:rsidRPr="00955A01">
              <w:t>Nhà nhập khẩu phải đăng ký kiểm tra với Cục Quản lý thực phẩm và dược phẩm, Bộ Y tế và phúc lợi. http://www.fda.gov.tw/TC/newsContent.aspx?cid=3&amp;id=28078 https://members.wto.org/crnattachments/2022/SPS/TPKM/22_4440_00_e.pdf</w:t>
            </w:r>
          </w:p>
          <w:p w14:paraId="1F891993" w14:textId="70E7AB69" w:rsidR="00963445" w:rsidRPr="00955A01" w:rsidRDefault="00963445" w:rsidP="004D558E">
            <w:pPr>
              <w:spacing w:after="0" w:line="240" w:lineRule="auto"/>
              <w:jc w:val="both"/>
              <w:rPr>
                <w:rFonts w:ascii="Times New Roman" w:eastAsia="Times New Roman" w:hAnsi="Times New Roman" w:cs="Times New Roman"/>
                <w:sz w:val="24"/>
                <w:szCs w:val="24"/>
              </w:rPr>
            </w:pPr>
            <w:r w:rsidRPr="00955A01">
              <w:rPr>
                <w:rFonts w:ascii="Times New Roman" w:hAnsi="Times New Roman" w:cs="Times New Roman"/>
                <w:sz w:val="24"/>
                <w:szCs w:val="24"/>
              </w:rPr>
              <w:t>Phụ lục liên quan: Thông báo quy định được thông qua, công bố hoặc có hiệu lực.</w:t>
            </w:r>
          </w:p>
        </w:tc>
      </w:tr>
      <w:tr w:rsidR="00955A01" w:rsidRPr="00955A01" w14:paraId="46154297" w14:textId="77777777" w:rsidTr="00EF32DC">
        <w:trPr>
          <w:trHeight w:val="411"/>
        </w:trPr>
        <w:tc>
          <w:tcPr>
            <w:tcW w:w="636" w:type="dxa"/>
            <w:shd w:val="clear" w:color="auto" w:fill="FFFFFF"/>
            <w:vAlign w:val="center"/>
          </w:tcPr>
          <w:p w14:paraId="441687A5"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t>9</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F5EA4ED" w14:textId="1DFB639C"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G/SPS/N/NZL/684/</w:t>
            </w:r>
            <w:r w:rsidRPr="00955A01">
              <w:rPr>
                <w:rFonts w:ascii="Times New Roman" w:eastAsia="Times New Roman" w:hAnsi="Times New Roman" w:cs="Times New Roman"/>
                <w:lang w:val="en-US"/>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CE9E5B9" w14:textId="5571B660"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41ECAF1" w14:textId="54A8F87C"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Niu Di-lân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C5C4621" w14:textId="61964E4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30/6/2022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AFB643C" w14:textId="3CA3082C" w:rsidR="00963445" w:rsidRPr="00955A01" w:rsidRDefault="00C46A69" w:rsidP="004D558E">
            <w:pPr>
              <w:spacing w:after="0" w:line="240" w:lineRule="auto"/>
              <w:jc w:val="both"/>
              <w:rPr>
                <w:rFonts w:ascii="Times New Roman" w:eastAsia="Times New Roman" w:hAnsi="Times New Roman" w:cs="Times New Roman"/>
                <w:sz w:val="24"/>
                <w:szCs w:val="24"/>
                <w:lang w:val="en-US"/>
              </w:rPr>
            </w:pPr>
            <w:hyperlink r:id="rId7" w:history="1">
              <w:r w:rsidR="00963445" w:rsidRPr="00955A01">
                <w:rPr>
                  <w:rStyle w:val="Hyperlink"/>
                  <w:rFonts w:ascii="Times New Roman" w:eastAsia="Times New Roman" w:hAnsi="Times New Roman" w:cs="Times New Roman"/>
                  <w:color w:val="auto"/>
                  <w:sz w:val="24"/>
                  <w:szCs w:val="24"/>
                  <w:lang w:val="en-US"/>
                </w:rPr>
                <w:t>Đề xuất quản lý rủi ro - Nhập khẩu cây Prunus cerasus x Prunus canescens để trồng</w:t>
              </w:r>
            </w:hyperlink>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4FD048C" w14:textId="77777777" w:rsidR="00963445" w:rsidRPr="00955A01" w:rsidRDefault="00963445" w:rsidP="004D558E">
            <w:pPr>
              <w:pStyle w:val="NormalWeb"/>
              <w:spacing w:before="0" w:beforeAutospacing="0" w:after="0" w:afterAutospacing="0"/>
              <w:jc w:val="both"/>
            </w:pPr>
            <w:r w:rsidRPr="00955A01">
              <w:t>Thông qua quy định https://members.wto.org/crnattachments/2022/SPS/NZL/22_4441_00_e.pdf</w:t>
            </w:r>
          </w:p>
          <w:p w14:paraId="10F5F06D" w14:textId="39A455E3" w:rsidR="00963445" w:rsidRPr="00955A01" w:rsidRDefault="00963445" w:rsidP="004D558E">
            <w:pPr>
              <w:spacing w:after="0" w:line="240" w:lineRule="auto"/>
              <w:jc w:val="both"/>
              <w:rPr>
                <w:rFonts w:ascii="Times New Roman" w:eastAsia="Times New Roman" w:hAnsi="Times New Roman" w:cs="Times New Roman"/>
                <w:sz w:val="24"/>
                <w:szCs w:val="24"/>
              </w:rPr>
            </w:pPr>
            <w:r w:rsidRPr="00955A01">
              <w:rPr>
                <w:rFonts w:ascii="Times New Roman" w:hAnsi="Times New Roman" w:cs="Times New Roman"/>
                <w:sz w:val="24"/>
                <w:szCs w:val="24"/>
              </w:rPr>
              <w:t>Phụ lục liên quan: Thông báo quy định được thông qua, công bố hoặc có hiệu lực</w:t>
            </w:r>
          </w:p>
        </w:tc>
      </w:tr>
      <w:tr w:rsidR="00963445" w:rsidRPr="00955A01" w14:paraId="243CB1B3" w14:textId="77777777" w:rsidTr="004D558E">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8A86F27"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lastRenderedPageBreak/>
              <w:t>10</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0BCEBE8" w14:textId="0DD9FB7D" w:rsidR="00963445" w:rsidRPr="00955A01" w:rsidRDefault="00963445" w:rsidP="004D558E">
            <w:pPr>
              <w:spacing w:after="0" w:line="240" w:lineRule="auto"/>
              <w:jc w:val="center"/>
              <w:rPr>
                <w:rFonts w:ascii="Times New Roman" w:eastAsia="Times New Roman" w:hAnsi="Times New Roman" w:cs="Times New Roman"/>
                <w:lang w:val="fr-FR"/>
              </w:rPr>
            </w:pPr>
            <w:r w:rsidRPr="00955A01">
              <w:rPr>
                <w:rFonts w:ascii="Times New Roman" w:eastAsia="Times New Roman" w:hAnsi="Times New Roman" w:cs="Times New Roman"/>
                <w:lang w:val="fr-FR"/>
              </w:rPr>
              <w:t>G/SPS/N/EU/544/</w:t>
            </w:r>
            <w:r w:rsidRPr="00955A01">
              <w:rPr>
                <w:rFonts w:ascii="Times New Roman" w:eastAsia="Times New Roman" w:hAnsi="Times New Roman" w:cs="Times New Roman"/>
                <w:lang w:val="fr-FR"/>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AB2FAB9" w14:textId="366DDC17"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TY, QLCL</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F496413" w14:textId="56436FDA"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D90F0B6" w14:textId="14F4F802"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C6F5EB8" w14:textId="361F3ED6"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Các thỏa thuận thống nhất để thực hiện các kiểm soát chính thức liên quan đến chất gây ô nhiễm trong thực phẩm, về nội dung bổ sung cụ thể của các kế hoạch kiểm soát quốc gia dài hạn và các bố trí bổ sung cụ thể để chuẩn bị các kế hoạch</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764DF6AD" w14:textId="77777777" w:rsidR="00963445" w:rsidRPr="00955A01" w:rsidRDefault="00963445" w:rsidP="004D558E">
            <w:pPr>
              <w:pStyle w:val="NormalWeb"/>
              <w:spacing w:before="0" w:beforeAutospacing="0" w:after="0" w:afterAutospacing="0"/>
              <w:jc w:val="both"/>
            </w:pPr>
            <w:r w:rsidRPr="00955A01">
              <w:t>Đề xuất được thông báo trong văn bản G/SPS/N/EU/544 (ngày 7 tháng 02 năm 2022) hiện đã được Quy định thực thi (EU) 2022/932 ngày 9 tháng 6 năm 2022 thông qua về các thỏa thuận thống nhất để thực hiện các kiểm soát chính thức liên quan đến chất gây ô nhiễm trong thực phẩm, về nội dung bổ sung cụ thể của các kế hoạch kiểm soát quốc gia dài hạn và các thỏa thuận bổ sung cụ thể để chuẩn bị các kế hoạch đó (Văn bản có liên quan đến EEA) [OJ L 162, ngày 17 tháng 6 năm 2022, tr. 13].</w:t>
            </w:r>
          </w:p>
          <w:p w14:paraId="27FD5325" w14:textId="77777777" w:rsidR="00963445" w:rsidRPr="00955A01" w:rsidRDefault="00963445" w:rsidP="004D558E">
            <w:pPr>
              <w:pStyle w:val="NormalWeb"/>
              <w:spacing w:before="0" w:beforeAutospacing="0" w:after="0" w:afterAutospacing="0"/>
              <w:jc w:val="both"/>
            </w:pPr>
            <w:r w:rsidRPr="00955A01">
              <w:t>Quy chế sẽ được áp dụng từ ngày 01 tháng 01 năm 2023.</w:t>
            </w:r>
          </w:p>
          <w:p w14:paraId="3C6B7581" w14:textId="77777777" w:rsidR="00963445" w:rsidRPr="00955A01" w:rsidRDefault="00963445" w:rsidP="004D558E">
            <w:pPr>
              <w:pStyle w:val="NormalWeb"/>
              <w:spacing w:before="0" w:beforeAutospacing="0" w:after="0" w:afterAutospacing="0"/>
              <w:jc w:val="both"/>
            </w:pPr>
            <w:r w:rsidRPr="00955A01">
              <w:t>https://members.wto.org/crnattachments/2022/SPS/EEC/22_4414_00_e.pdf</w:t>
            </w:r>
          </w:p>
          <w:p w14:paraId="01879F26" w14:textId="77777777" w:rsidR="00963445" w:rsidRPr="00955A01" w:rsidRDefault="00963445" w:rsidP="004D558E">
            <w:pPr>
              <w:pStyle w:val="NormalWeb"/>
              <w:spacing w:before="0" w:beforeAutospacing="0" w:after="0" w:afterAutospacing="0"/>
              <w:jc w:val="both"/>
            </w:pPr>
            <w:r w:rsidRPr="00955A01">
              <w:t>https://members.wto.org/crnattachments/2022/SPS/EEC/22_4414_00_s.pdf</w:t>
            </w:r>
          </w:p>
          <w:p w14:paraId="4AF11AA5" w14:textId="77777777" w:rsidR="00963445" w:rsidRPr="00955A01" w:rsidRDefault="00963445" w:rsidP="004D558E">
            <w:pPr>
              <w:pStyle w:val="NormalWeb"/>
              <w:spacing w:before="0" w:beforeAutospacing="0" w:after="0" w:afterAutospacing="0"/>
              <w:jc w:val="both"/>
            </w:pPr>
            <w:r w:rsidRPr="00955A01">
              <w:t>https://members.wto.org/crnattachments/2022/SPS/EEC/22_4414_00_f.pdf</w:t>
            </w:r>
          </w:p>
          <w:p w14:paraId="77918232" w14:textId="1E97FB5E" w:rsidR="00963445" w:rsidRPr="00955A01" w:rsidRDefault="00963445" w:rsidP="004D558E">
            <w:pPr>
              <w:pStyle w:val="NormalWeb"/>
              <w:spacing w:before="0" w:beforeAutospacing="0" w:after="0" w:afterAutospacing="0"/>
              <w:jc w:val="both"/>
            </w:pPr>
            <w:r w:rsidRPr="00955A01">
              <w:t>Nội dung chính của phụ lục: Thông báo về việc thông qua, công bố hoặc có hiệu lực của quy định</w:t>
            </w:r>
          </w:p>
        </w:tc>
      </w:tr>
      <w:tr w:rsidR="00963445" w:rsidRPr="00955A01" w14:paraId="4715F6DC" w14:textId="77777777" w:rsidTr="004D558E">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779EB7B"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t>11</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B4BA427" w14:textId="712A0C50" w:rsidR="00963445" w:rsidRPr="00955A01" w:rsidRDefault="00963445" w:rsidP="004D558E">
            <w:pPr>
              <w:spacing w:after="0" w:line="240" w:lineRule="auto"/>
              <w:jc w:val="center"/>
              <w:rPr>
                <w:rFonts w:ascii="Times New Roman" w:eastAsia="Times New Roman" w:hAnsi="Times New Roman" w:cs="Times New Roman"/>
                <w:lang w:val="fr-FR"/>
              </w:rPr>
            </w:pPr>
            <w:r w:rsidRPr="00955A01">
              <w:rPr>
                <w:rFonts w:ascii="Times New Roman" w:eastAsia="Times New Roman" w:hAnsi="Times New Roman" w:cs="Times New Roman"/>
                <w:lang w:val="fr-FR"/>
              </w:rPr>
              <w:t>G/SPS/N/EU/543/</w:t>
            </w:r>
            <w:r w:rsidRPr="00955A01">
              <w:rPr>
                <w:rFonts w:ascii="Times New Roman" w:eastAsia="Times New Roman" w:hAnsi="Times New Roman" w:cs="Times New Roman"/>
                <w:lang w:val="fr-FR"/>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FE5372D" w14:textId="010B7DDE"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TY, QLCL</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67826601" w14:textId="5BAF73A5"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0901819" w14:textId="5F43F5AB"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29/6/2022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2F9217F" w14:textId="72AB7209"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Quy tắc thực hiện các kiểm soát chính thức liên quan đến chất gây ô nhiễm trong thực phẩm</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379A2A00" w14:textId="77777777" w:rsidR="00963445" w:rsidRPr="00955A01" w:rsidRDefault="00963445" w:rsidP="004D558E">
            <w:pPr>
              <w:pStyle w:val="NormalWeb"/>
              <w:spacing w:before="0" w:beforeAutospacing="0" w:after="0" w:afterAutospacing="0"/>
              <w:jc w:val="both"/>
            </w:pPr>
            <w:r w:rsidRPr="00955A01">
              <w:t>Đề xuất thông báo G/SPS/N/EU/543 (ngày 7 tháng 02 năm 2022) hiện đã được thông qua theo quy định được ủy quyền của Ủy ban (EU) số 2022/931 ngày 23 tháng 3 năm 2022 bổ sung Quy định (EU) 2017/625 của Nghị viện Châu Âu và của Hội đồng bằng cách đặt ra các quy tắc để thực hiện các kiểm soát chính thức liên quan đến các chất gây ô nhiễm trong thực phẩm (Văn bản có liên quan đến EEA) [OJ L 162, ngày 17 tháng 6 năm 2022, tr. 7].</w:t>
            </w:r>
          </w:p>
          <w:p w14:paraId="304A2236" w14:textId="77777777" w:rsidR="00963445" w:rsidRPr="00955A01" w:rsidRDefault="00963445" w:rsidP="004D558E">
            <w:pPr>
              <w:pStyle w:val="NormalWeb"/>
              <w:spacing w:before="0" w:beforeAutospacing="0" w:after="0" w:afterAutospacing="0"/>
              <w:jc w:val="both"/>
            </w:pPr>
            <w:r w:rsidRPr="00955A01">
              <w:t>Quy định sẽ được áp dụng từ ngày 01 tháng 01 năm 2023.</w:t>
            </w:r>
          </w:p>
          <w:p w14:paraId="270F2DC9" w14:textId="77777777" w:rsidR="00963445" w:rsidRPr="00955A01" w:rsidRDefault="00963445" w:rsidP="004D558E">
            <w:pPr>
              <w:pStyle w:val="NormalWeb"/>
              <w:spacing w:before="0" w:beforeAutospacing="0" w:after="0" w:afterAutospacing="0"/>
              <w:jc w:val="both"/>
            </w:pPr>
            <w:r w:rsidRPr="00955A01">
              <w:t>https://members.wto.org/crnattachments/2022/SPS/EEC</w:t>
            </w:r>
            <w:r w:rsidRPr="00955A01">
              <w:lastRenderedPageBreak/>
              <w:t>/22_4413_00_e.pdf</w:t>
            </w:r>
          </w:p>
          <w:p w14:paraId="0C5C4C64" w14:textId="77777777" w:rsidR="00963445" w:rsidRPr="00955A01" w:rsidRDefault="00963445" w:rsidP="004D558E">
            <w:pPr>
              <w:pStyle w:val="NormalWeb"/>
              <w:spacing w:before="0" w:beforeAutospacing="0" w:after="0" w:afterAutospacing="0"/>
              <w:jc w:val="both"/>
            </w:pPr>
            <w:r w:rsidRPr="00955A01">
              <w:t>https://members.wto.org/crnattachments/2022/SPS/EEC/22_4413_00_f.pdf</w:t>
            </w:r>
          </w:p>
          <w:p w14:paraId="4BEB6009" w14:textId="77777777" w:rsidR="00963445" w:rsidRPr="00955A01" w:rsidRDefault="00963445" w:rsidP="004D558E">
            <w:pPr>
              <w:pStyle w:val="NormalWeb"/>
              <w:spacing w:before="0" w:beforeAutospacing="0" w:after="0" w:afterAutospacing="0"/>
              <w:jc w:val="both"/>
            </w:pPr>
            <w:r w:rsidRPr="00955A01">
              <w:t>https://members.wto.org/crnattachments/2022/SPS/EEC/22_4413_00_s.pdf</w:t>
            </w:r>
          </w:p>
          <w:p w14:paraId="0C4B7D63" w14:textId="1FD00C98" w:rsidR="00963445" w:rsidRPr="00955A01" w:rsidRDefault="00963445" w:rsidP="004D558E">
            <w:pPr>
              <w:pStyle w:val="NormalWeb"/>
              <w:spacing w:before="0" w:beforeAutospacing="0" w:after="0" w:afterAutospacing="0"/>
              <w:jc w:val="both"/>
            </w:pPr>
            <w:r w:rsidRPr="00955A01">
              <w:t>Nội dung chính của phụ lục: Thông báo về việc thông qua, công bố hoặc có hiệu lực của quy định</w:t>
            </w:r>
          </w:p>
        </w:tc>
      </w:tr>
      <w:tr w:rsidR="00963445" w:rsidRPr="00955A01" w14:paraId="3D198B90" w14:textId="77777777" w:rsidTr="004D558E">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30AC4318"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lastRenderedPageBreak/>
              <w:t>12</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B96BC25" w14:textId="3B0DA706"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G/SPS/N/TPKM/586/</w:t>
            </w:r>
            <w:r w:rsidRPr="00955A01">
              <w:rPr>
                <w:rFonts w:ascii="Times New Roman" w:eastAsia="Times New Roman" w:hAnsi="Times New Roman" w:cs="Times New Roman"/>
                <w:lang w:val="en-US"/>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0BCBBC5" w14:textId="027E884A"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37C56B9" w14:textId="432078BC" w:rsidR="00963445" w:rsidRPr="00955A01" w:rsidRDefault="00830A8E" w:rsidP="004D558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Đài 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7417CF18" w14:textId="63781625"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070CE65" w14:textId="58906437"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Việc sửa đổi "Yêu cầu kiểm dịch đối với việc nhập khẩu sản phẩm có nguồn gốc động vật" liên quan đến Điều 19 (Phụ lục 18-4) của "Quy định nhập khẩu hàng hóa thuộc đối tượng kiểm dịch động vật"</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194D2EB" w14:textId="77777777" w:rsidR="00963445" w:rsidRPr="00955A01" w:rsidRDefault="00963445" w:rsidP="004D558E">
            <w:pPr>
              <w:pStyle w:val="NormalWeb"/>
              <w:spacing w:before="0" w:beforeAutospacing="0" w:after="0" w:afterAutospacing="0"/>
              <w:jc w:val="both"/>
            </w:pPr>
            <w:r w:rsidRPr="00955A01">
              <w:t>Đài Loan thông báo về dự thảo sửa đổi "Yêu cầu kiểm dịch đối với việc nhập khẩu sản phẩm có nguồn gốc động vật" liên quan đến Điều 19 (Phụ lục 18-4) của "Quy định nhập khẩu hàng hóa thuộc Đối tượng kiểm dịch động vật "vào ngày 30 tháng 5 năm 2022 (G/SPS/N/TPKM/586).</w:t>
            </w:r>
          </w:p>
          <w:p w14:paraId="556C652D" w14:textId="77777777" w:rsidR="00963445" w:rsidRPr="00955A01" w:rsidRDefault="00963445" w:rsidP="004D558E">
            <w:pPr>
              <w:pStyle w:val="NormalWeb"/>
              <w:spacing w:before="0" w:beforeAutospacing="0" w:after="0" w:afterAutospacing="0"/>
              <w:jc w:val="both"/>
            </w:pPr>
            <w:r w:rsidRPr="00955A01">
              <w:t>Bản sửa đổi được ban hành vào ngày 17 tháng 6 năm 2022.</w:t>
            </w:r>
          </w:p>
          <w:p w14:paraId="3A724717" w14:textId="77777777" w:rsidR="00963445" w:rsidRPr="00955A01" w:rsidRDefault="00963445" w:rsidP="004D558E">
            <w:pPr>
              <w:pStyle w:val="NormalWeb"/>
              <w:spacing w:before="0" w:beforeAutospacing="0" w:after="0" w:afterAutospacing="0"/>
              <w:jc w:val="both"/>
            </w:pPr>
            <w:r w:rsidRPr="00955A01">
              <w:t>https://www.baphiq.gov.tw/theme_data.php?theme=news&amp;sub_theme=massage&amp;id=20340</w:t>
            </w:r>
          </w:p>
          <w:p w14:paraId="4D1E0BBB" w14:textId="77777777" w:rsidR="00963445" w:rsidRPr="00955A01" w:rsidRDefault="00963445" w:rsidP="004D558E">
            <w:pPr>
              <w:pStyle w:val="NormalWeb"/>
              <w:spacing w:before="0" w:beforeAutospacing="0" w:after="0" w:afterAutospacing="0"/>
              <w:jc w:val="both"/>
            </w:pPr>
            <w:r w:rsidRPr="00955A01">
              <w:t>https://members.wto.org/crnattachments/2022/SPS/TPKM/22_4272_00_e.pdf</w:t>
            </w:r>
          </w:p>
          <w:p w14:paraId="12AACA24" w14:textId="14B4DEA0" w:rsidR="00963445" w:rsidRPr="00955A01" w:rsidRDefault="00963445" w:rsidP="004D558E">
            <w:pPr>
              <w:pStyle w:val="NormalWeb"/>
              <w:spacing w:before="0" w:beforeAutospacing="0" w:after="0" w:afterAutospacing="0"/>
              <w:jc w:val="both"/>
            </w:pPr>
            <w:r w:rsidRPr="00955A01">
              <w:t>Nội dung chính của phụ lục: Thông báo về việc thông qua, công bố hoặc bắt đầu có hiệu lực của quy định</w:t>
            </w:r>
          </w:p>
        </w:tc>
      </w:tr>
      <w:tr w:rsidR="00963445" w:rsidRPr="00955A01" w14:paraId="43CD0EE5" w14:textId="77777777" w:rsidTr="004D558E">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80BEDE7" w14:textId="77777777"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hAnsi="Times New Roman" w:cs="Times New Roman"/>
                <w:sz w:val="24"/>
                <w:szCs w:val="24"/>
              </w:rPr>
              <w:t>13</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CB2818D" w14:textId="577CD08D"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G/SPS/N/TPKM/530/</w:t>
            </w:r>
            <w:r w:rsidRPr="00955A01">
              <w:rPr>
                <w:rFonts w:ascii="Times New Roman" w:eastAsia="Times New Roman" w:hAnsi="Times New Roman" w:cs="Times New Roman"/>
                <w:lang w:val="en-US"/>
              </w:rPr>
              <w:br/>
              <w:t>Add.6</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720AE68" w14:textId="0C21097C"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ATTP, BVTV, TY, QLCL, CT</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BCF7765" w14:textId="44EDB6A5" w:rsidR="00963445" w:rsidRPr="00955A01" w:rsidRDefault="00830A8E" w:rsidP="004D558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Đài 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3124063B" w14:textId="14446643"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24/6/2022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E0FC32D" w14:textId="568196F5"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Gia hạn các biện pháp thay thế tạm thời đến ngày 31 tháng 12 năm 2022 cho việc nộp Giấy chứng nhận vệ sinh và an toàn thực phẩm trong điều kiện đại dịch COVID-19.</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AE2B0EE" w14:textId="77777777" w:rsidR="00963445" w:rsidRPr="00955A01" w:rsidRDefault="00963445" w:rsidP="004D558E">
            <w:pPr>
              <w:pStyle w:val="NormalWeb"/>
              <w:spacing w:before="0" w:beforeAutospacing="0" w:after="0" w:afterAutospacing="0"/>
              <w:jc w:val="both"/>
            </w:pPr>
            <w:r w:rsidRPr="00955A01">
              <w:t>Gia hạn các biện pháp thay thế tạm thời đến ngày 31 tháng 12 năm 2022 cho việc nộp giấy chứng nhận vệ sinh và an toàn thực phẩm trong điều kiện đại dịch COVID-19.</w:t>
            </w:r>
          </w:p>
          <w:p w14:paraId="2443457A" w14:textId="45AA8289" w:rsidR="00963445" w:rsidRPr="00955A01" w:rsidRDefault="00963445" w:rsidP="004D558E">
            <w:pPr>
              <w:pStyle w:val="NormalWeb"/>
              <w:spacing w:before="0" w:beforeAutospacing="0" w:after="0" w:afterAutospacing="0"/>
              <w:jc w:val="both"/>
            </w:pPr>
            <w:r w:rsidRPr="00955A01">
              <w:t>Nội dung chính của phụ lục: Gia hạn các Biện pháp thay thế tạm thời đến ngày 31 tháng 12 năm 2022 cho việc nộp Giấy chứng nhận vệ sinh và an toàn thực phẩm trong điều kiện đại dịch COVID-19.</w:t>
            </w:r>
          </w:p>
        </w:tc>
      </w:tr>
      <w:tr w:rsidR="00963445" w:rsidRPr="00955A01" w14:paraId="05A3CA8E" w14:textId="77777777" w:rsidTr="004D558E">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2CC13C29"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t>14</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0C2DC9FD" w14:textId="25AA60E3"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G/SPS/N/TPKM/538/</w:t>
            </w:r>
            <w:r w:rsidRPr="00955A01">
              <w:rPr>
                <w:rFonts w:ascii="Times New Roman" w:eastAsia="Times New Roman" w:hAnsi="Times New Roman" w:cs="Times New Roman"/>
                <w:lang w:val="en-US"/>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53AAA143" w14:textId="6B7F0A98"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TY</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3F96393" w14:textId="74D009E0" w:rsidR="00963445" w:rsidRPr="00955A01" w:rsidRDefault="00830A8E" w:rsidP="004D558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Đài Loan</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216DEF3F" w14:textId="1BF19AFB"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22/6/2022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11800C7F" w14:textId="2AF030B6"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 xml:space="preserve">Việc sửa đổi "Quy tắc thực thi quy chế phòng chống và kiểm </w:t>
            </w:r>
            <w:r w:rsidRPr="00955A01">
              <w:rPr>
                <w:rFonts w:ascii="Times New Roman" w:eastAsia="Times New Roman" w:hAnsi="Times New Roman" w:cs="Times New Roman"/>
                <w:sz w:val="24"/>
                <w:szCs w:val="24"/>
                <w:lang w:val="en-US"/>
              </w:rPr>
              <w:lastRenderedPageBreak/>
              <w:t>soát các bệnh truyền nhiễm ở động vật"</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47C35768" w14:textId="77777777" w:rsidR="00963445" w:rsidRPr="00955A01" w:rsidRDefault="00963445" w:rsidP="004D558E">
            <w:pPr>
              <w:pStyle w:val="NormalWeb"/>
              <w:spacing w:before="0" w:beforeAutospacing="0" w:after="0" w:afterAutospacing="0"/>
              <w:jc w:val="both"/>
            </w:pPr>
            <w:r w:rsidRPr="00955A01">
              <w:lastRenderedPageBreak/>
              <w:t xml:space="preserve">Đài Loan đã thông báo về dự thảo sửa đổi "Quy tắc thực thi của Quy chế phòng chống và kiểm soát các bệnh </w:t>
            </w:r>
            <w:r w:rsidRPr="00955A01">
              <w:lastRenderedPageBreak/>
              <w:t>động vật truyền nhiễm" vào ngày 10 tháng 7 năm 2020 (G/SPS/N/TPKM/538).</w:t>
            </w:r>
          </w:p>
          <w:p w14:paraId="2BFD1BA1" w14:textId="77777777" w:rsidR="00963445" w:rsidRPr="00955A01" w:rsidRDefault="00963445" w:rsidP="004D558E">
            <w:pPr>
              <w:pStyle w:val="NormalWeb"/>
              <w:spacing w:before="0" w:beforeAutospacing="0" w:after="0" w:afterAutospacing="0"/>
              <w:jc w:val="both"/>
            </w:pPr>
            <w:r w:rsidRPr="00955A01">
              <w:t>Việc sửa đổi các Quy tắc Thực thi đã được ban hành vào ngày 23 tháng 5 năm 2022.</w:t>
            </w:r>
          </w:p>
          <w:p w14:paraId="2819CA14" w14:textId="77777777" w:rsidR="00963445" w:rsidRPr="00955A01" w:rsidRDefault="00963445" w:rsidP="004D558E">
            <w:pPr>
              <w:pStyle w:val="NormalWeb"/>
              <w:spacing w:before="0" w:beforeAutospacing="0" w:after="0" w:afterAutospacing="0"/>
              <w:jc w:val="both"/>
            </w:pPr>
            <w:r w:rsidRPr="00955A01">
              <w:t>https://www.baphiq.gov.tw/theme_data.php?theme=news&amp;sub_theme=massage&amp;id=20324</w:t>
            </w:r>
          </w:p>
          <w:p w14:paraId="006A2BE6" w14:textId="77777777" w:rsidR="00963445" w:rsidRPr="00955A01" w:rsidRDefault="00963445" w:rsidP="004D558E">
            <w:pPr>
              <w:pStyle w:val="NormalWeb"/>
              <w:spacing w:before="0" w:beforeAutospacing="0" w:after="0" w:afterAutospacing="0"/>
              <w:jc w:val="both"/>
            </w:pPr>
            <w:r w:rsidRPr="00955A01">
              <w:t>https://members.wto.org/crnattachments/2022/SPS/TPKM/22_4212_00_e.pdf</w:t>
            </w:r>
          </w:p>
          <w:p w14:paraId="06A511AD" w14:textId="0422C6BD" w:rsidR="00963445" w:rsidRPr="00955A01" w:rsidRDefault="00963445" w:rsidP="004D558E">
            <w:pPr>
              <w:pStyle w:val="NormalWeb"/>
              <w:spacing w:before="0" w:beforeAutospacing="0" w:after="0" w:afterAutospacing="0"/>
              <w:jc w:val="both"/>
            </w:pPr>
            <w:r w:rsidRPr="00955A01">
              <w:t>Nội dung chính của phụ lục: Thông báo về việc thông qua, công bố hoặc bắt đầu có hiệu lực của quy định</w:t>
            </w:r>
          </w:p>
        </w:tc>
      </w:tr>
      <w:tr w:rsidR="00963445" w:rsidRPr="000F1664" w14:paraId="159B63DC" w14:textId="77777777" w:rsidTr="004D558E">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779E5F9B" w14:textId="77777777" w:rsidR="00963445" w:rsidRPr="00955A01" w:rsidRDefault="00963445" w:rsidP="004D558E">
            <w:pPr>
              <w:spacing w:after="0" w:line="240" w:lineRule="auto"/>
              <w:jc w:val="center"/>
              <w:rPr>
                <w:rFonts w:ascii="Times New Roman" w:eastAsia="Times New Roman" w:hAnsi="Times New Roman" w:cs="Times New Roman"/>
                <w:sz w:val="24"/>
                <w:szCs w:val="24"/>
              </w:rPr>
            </w:pPr>
            <w:r w:rsidRPr="00955A01">
              <w:rPr>
                <w:rFonts w:ascii="Times New Roman" w:hAnsi="Times New Roman" w:cs="Times New Roman"/>
                <w:sz w:val="24"/>
                <w:szCs w:val="24"/>
                <w:lang w:val="vi-VN"/>
              </w:rPr>
              <w:lastRenderedPageBreak/>
              <w:t>15</w:t>
            </w:r>
          </w:p>
        </w:tc>
        <w:tc>
          <w:tcPr>
            <w:tcW w:w="2082"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1C6BC17" w14:textId="477DD690" w:rsidR="00963445" w:rsidRPr="00955A01" w:rsidRDefault="00963445" w:rsidP="004D558E">
            <w:pPr>
              <w:spacing w:after="0" w:line="240" w:lineRule="auto"/>
              <w:jc w:val="center"/>
              <w:rPr>
                <w:rFonts w:ascii="Times New Roman" w:eastAsia="Times New Roman" w:hAnsi="Times New Roman" w:cs="Times New Roman"/>
                <w:lang w:val="fr-FR"/>
              </w:rPr>
            </w:pPr>
            <w:r w:rsidRPr="00955A01">
              <w:rPr>
                <w:rFonts w:ascii="Times New Roman" w:eastAsia="Times New Roman" w:hAnsi="Times New Roman" w:cs="Times New Roman"/>
                <w:lang w:val="fr-FR"/>
              </w:rPr>
              <w:t>G/SPS/N/EU/545/</w:t>
            </w:r>
            <w:r w:rsidRPr="00955A01">
              <w:rPr>
                <w:rFonts w:ascii="Times New Roman" w:eastAsia="Times New Roman" w:hAnsi="Times New Roman" w:cs="Times New Roman"/>
                <w:lang w:val="fr-FR"/>
              </w:rPr>
              <w:br/>
              <w:t>Add.1</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102A7EB9" w14:textId="486B468B" w:rsidR="00963445" w:rsidRPr="00955A01" w:rsidRDefault="00963445" w:rsidP="004D558E">
            <w:pPr>
              <w:spacing w:after="0" w:line="240" w:lineRule="auto"/>
              <w:jc w:val="center"/>
              <w:rPr>
                <w:rFonts w:ascii="Times New Roman" w:eastAsia="Times New Roman" w:hAnsi="Times New Roman" w:cs="Times New Roman"/>
                <w:lang w:val="en-US"/>
              </w:rPr>
            </w:pPr>
            <w:r w:rsidRPr="00955A01">
              <w:rPr>
                <w:rFonts w:ascii="Times New Roman" w:eastAsia="Times New Roman" w:hAnsi="Times New Roman" w:cs="Times New Roman"/>
                <w:lang w:val="en-US"/>
              </w:rPr>
              <w:t>BVTV</w:t>
            </w:r>
          </w:p>
        </w:tc>
        <w:tc>
          <w:tcPr>
            <w:tcW w:w="107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494C33CE" w14:textId="3F06616F"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Liên minh châu Âu</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0B6C534F" w14:textId="6277B878" w:rsidR="00963445" w:rsidRPr="00955A01" w:rsidRDefault="00963445" w:rsidP="004D558E">
            <w:pPr>
              <w:spacing w:after="0" w:line="240" w:lineRule="auto"/>
              <w:jc w:val="center"/>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22/6/2022</w:t>
            </w:r>
          </w:p>
        </w:tc>
        <w:tc>
          <w:tcPr>
            <w:tcW w:w="3393"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hideMark/>
          </w:tcPr>
          <w:p w14:paraId="55C4BFA3" w14:textId="03C64D00" w:rsidR="00963445" w:rsidRPr="00955A01" w:rsidRDefault="00963445" w:rsidP="004D558E">
            <w:pPr>
              <w:spacing w:after="0" w:line="240" w:lineRule="auto"/>
              <w:jc w:val="both"/>
              <w:rPr>
                <w:rFonts w:ascii="Times New Roman" w:eastAsia="Times New Roman" w:hAnsi="Times New Roman" w:cs="Times New Roman"/>
                <w:sz w:val="24"/>
                <w:szCs w:val="24"/>
                <w:lang w:val="en-US"/>
              </w:rPr>
            </w:pPr>
            <w:r w:rsidRPr="00955A01">
              <w:rPr>
                <w:rFonts w:ascii="Times New Roman" w:eastAsia="Times New Roman" w:hAnsi="Times New Roman" w:cs="Times New Roman"/>
                <w:sz w:val="24"/>
                <w:szCs w:val="24"/>
                <w:lang w:val="en-US"/>
              </w:rPr>
              <w:t>Yêu cầu đối với việc đưa vào Liên minh châu Âu một số loại trái cây Capsicum (L.), Citrus L., Citrus sinensis Pers., Prunus persica (L.) Batsch và Punica granatum L.</w:t>
            </w:r>
          </w:p>
        </w:tc>
        <w:tc>
          <w:tcPr>
            <w:tcW w:w="5508" w:type="dxa"/>
            <w:tcBorders>
              <w:top w:val="single" w:sz="4" w:space="0" w:color="auto"/>
              <w:left w:val="single" w:sz="4" w:space="0" w:color="auto"/>
              <w:bottom w:val="single" w:sz="4" w:space="0" w:color="auto"/>
              <w:right w:val="single" w:sz="4" w:space="0" w:color="auto"/>
            </w:tcBorders>
            <w:shd w:val="clear" w:color="auto" w:fill="FFFFFF"/>
            <w:tcMar>
              <w:top w:w="37" w:type="dxa"/>
              <w:left w:w="37" w:type="dxa"/>
              <w:bottom w:w="37" w:type="dxa"/>
              <w:right w:w="37" w:type="dxa"/>
            </w:tcMar>
          </w:tcPr>
          <w:p w14:paraId="21C856C5" w14:textId="77777777" w:rsidR="00963445" w:rsidRPr="00955A01" w:rsidRDefault="00963445" w:rsidP="004D558E">
            <w:pPr>
              <w:pStyle w:val="NormalWeb"/>
              <w:spacing w:before="0" w:beforeAutospacing="0" w:after="0" w:afterAutospacing="0"/>
              <w:jc w:val="both"/>
            </w:pPr>
            <w:r w:rsidRPr="00955A01">
              <w:t>Đề xuất được thông báo trong G/SPS/N/EU/545 (ngày 10 tháng 2 năm 2022) đã được ban hành bởi Ủy ban thực thi tại qui định (EU) số 2022/959 ngày 16 tháng 6 năm 2022, sửa đổi Phụ lục VII về Quy định Thực thi (EU) 2019/2072 theo các yêu cầu để đưa vào Liên minh một số loại trái cây Capsicum (L.), Citrus L., Citrus sinensis Pers., Prunus persica (L.) Batsch và Punica granatum L. (OJ L 165, 21 tháng 6 năm 2022, trang 30) .</w:t>
            </w:r>
          </w:p>
          <w:p w14:paraId="1DB58F52" w14:textId="77777777" w:rsidR="00963445" w:rsidRPr="00955A01" w:rsidRDefault="00963445" w:rsidP="004D558E">
            <w:pPr>
              <w:pStyle w:val="NormalWeb"/>
              <w:spacing w:before="0" w:beforeAutospacing="0" w:after="0" w:afterAutospacing="0"/>
              <w:jc w:val="both"/>
            </w:pPr>
            <w:r w:rsidRPr="00955A01">
              <w:t>Quy định sẽ được áp dụng kể từ ngày 14 tháng 7 năm 2022.</w:t>
            </w:r>
          </w:p>
          <w:p w14:paraId="594808C4" w14:textId="77777777" w:rsidR="00963445" w:rsidRPr="00955A01" w:rsidRDefault="00963445" w:rsidP="004D558E">
            <w:pPr>
              <w:pStyle w:val="NormalWeb"/>
              <w:spacing w:before="0" w:beforeAutospacing="0" w:after="0" w:afterAutospacing="0"/>
              <w:jc w:val="both"/>
            </w:pPr>
            <w:r w:rsidRPr="00955A01">
              <w:t>https://members.wto.org/crnattachments/2022/SPS/EEC/22_4216_00_e.pdf</w:t>
            </w:r>
          </w:p>
          <w:p w14:paraId="3B852816" w14:textId="77777777" w:rsidR="00963445" w:rsidRPr="00955A01" w:rsidRDefault="00963445" w:rsidP="004D558E">
            <w:pPr>
              <w:pStyle w:val="NormalWeb"/>
              <w:spacing w:before="0" w:beforeAutospacing="0" w:after="0" w:afterAutospacing="0"/>
              <w:jc w:val="both"/>
            </w:pPr>
            <w:r w:rsidRPr="00955A01">
              <w:t>https://members.wto.org/crnattachments/2022/SPS/EEC/22_4216_00_f.pdf</w:t>
            </w:r>
          </w:p>
          <w:p w14:paraId="7E5FA882" w14:textId="77777777" w:rsidR="00963445" w:rsidRPr="00955A01" w:rsidRDefault="00963445" w:rsidP="004D558E">
            <w:pPr>
              <w:pStyle w:val="NormalWeb"/>
              <w:spacing w:before="0" w:beforeAutospacing="0" w:after="0" w:afterAutospacing="0"/>
              <w:jc w:val="both"/>
            </w:pPr>
            <w:r w:rsidRPr="00955A01">
              <w:t>https://members.wto.org/crnattachments/2022/SPS/EEC/22_4216_00_s.pdf</w:t>
            </w:r>
          </w:p>
          <w:p w14:paraId="01CC4C65" w14:textId="36D07F3C" w:rsidR="00963445" w:rsidRPr="00955A01" w:rsidRDefault="00963445" w:rsidP="004D558E">
            <w:pPr>
              <w:pStyle w:val="NormalWeb"/>
              <w:spacing w:before="0" w:beforeAutospacing="0" w:after="0" w:afterAutospacing="0"/>
              <w:jc w:val="both"/>
            </w:pPr>
            <w:r w:rsidRPr="00955A01">
              <w:t>Nội dung chính của phụ lục: Thông báo về việc thông qua, công bố hoặc bắt đầu có hiệu lực của quy định</w:t>
            </w:r>
          </w:p>
        </w:tc>
      </w:tr>
    </w:tbl>
    <w:p w14:paraId="01A71699" w14:textId="77777777" w:rsidR="00AA3CAB" w:rsidRPr="000F1664" w:rsidRDefault="00AA3CAB"/>
    <w:sectPr w:rsidR="00AA3CAB" w:rsidRPr="000F1664" w:rsidSect="008C1B70">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A62E2"/>
    <w:multiLevelType w:val="hybridMultilevel"/>
    <w:tmpl w:val="C6B6D714"/>
    <w:lvl w:ilvl="0" w:tplc="A10E2E4E">
      <w:start w:val="1"/>
      <w:numFmt w:val="decimal"/>
      <w:lvlText w:val="%1."/>
      <w:lvlJc w:val="left"/>
      <w:pPr>
        <w:ind w:left="720" w:hanging="360"/>
      </w:pPr>
      <w:rPr>
        <w:rFonts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70"/>
    <w:rsid w:val="00064C7B"/>
    <w:rsid w:val="00073F53"/>
    <w:rsid w:val="0008527B"/>
    <w:rsid w:val="000D6879"/>
    <w:rsid w:val="000F0192"/>
    <w:rsid w:val="000F1664"/>
    <w:rsid w:val="000F6327"/>
    <w:rsid w:val="001042B1"/>
    <w:rsid w:val="00221344"/>
    <w:rsid w:val="003F7094"/>
    <w:rsid w:val="00400C9E"/>
    <w:rsid w:val="00473365"/>
    <w:rsid w:val="004A0299"/>
    <w:rsid w:val="00552B7C"/>
    <w:rsid w:val="00556DC2"/>
    <w:rsid w:val="005928AF"/>
    <w:rsid w:val="005B1362"/>
    <w:rsid w:val="00607CD5"/>
    <w:rsid w:val="007173B4"/>
    <w:rsid w:val="007B0817"/>
    <w:rsid w:val="00830A8E"/>
    <w:rsid w:val="008618EF"/>
    <w:rsid w:val="008C1B70"/>
    <w:rsid w:val="008C4A9B"/>
    <w:rsid w:val="009207B2"/>
    <w:rsid w:val="0093767C"/>
    <w:rsid w:val="00955A01"/>
    <w:rsid w:val="00963445"/>
    <w:rsid w:val="00A0622E"/>
    <w:rsid w:val="00A36C1F"/>
    <w:rsid w:val="00AA3CAB"/>
    <w:rsid w:val="00B25942"/>
    <w:rsid w:val="00B43EA4"/>
    <w:rsid w:val="00BC64ED"/>
    <w:rsid w:val="00BE6D2C"/>
    <w:rsid w:val="00C2135F"/>
    <w:rsid w:val="00C46A69"/>
    <w:rsid w:val="00D04861"/>
    <w:rsid w:val="00D22986"/>
    <w:rsid w:val="00D52726"/>
    <w:rsid w:val="00D56408"/>
    <w:rsid w:val="00D90970"/>
    <w:rsid w:val="00D957F8"/>
    <w:rsid w:val="00EA7EE6"/>
    <w:rsid w:val="00F5384B"/>
    <w:rsid w:val="00F7410B"/>
    <w:rsid w:val="00FE5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B70"/>
    <w:rPr>
      <w:color w:val="0000FF"/>
      <w:u w:val="single"/>
    </w:rPr>
  </w:style>
  <w:style w:type="paragraph" w:styleId="BalloonText">
    <w:name w:val="Balloon Text"/>
    <w:basedOn w:val="Normal"/>
    <w:link w:val="BalloonTextChar"/>
    <w:uiPriority w:val="99"/>
    <w:semiHidden/>
    <w:unhideWhenUsed/>
    <w:rsid w:val="008C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70"/>
    <w:rPr>
      <w:rFonts w:ascii="Tahoma" w:hAnsi="Tahoma" w:cs="Tahoma"/>
      <w:sz w:val="16"/>
      <w:szCs w:val="16"/>
    </w:rPr>
  </w:style>
  <w:style w:type="paragraph" w:styleId="NormalWeb">
    <w:name w:val="Normal (Web)"/>
    <w:basedOn w:val="Normal"/>
    <w:uiPriority w:val="99"/>
    <w:unhideWhenUsed/>
    <w:rsid w:val="00064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
    <w:name w:val="attach"/>
    <w:basedOn w:val="DefaultParagraphFont"/>
    <w:rsid w:val="000F6327"/>
  </w:style>
  <w:style w:type="table" w:styleId="TableGrid">
    <w:name w:val="Table Grid"/>
    <w:basedOn w:val="TableNormal"/>
    <w:uiPriority w:val="39"/>
    <w:rsid w:val="000F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B1362"/>
    <w:rPr>
      <w:color w:val="605E5C"/>
      <w:shd w:val="clear" w:color="auto" w:fill="E1DFDD"/>
    </w:rPr>
  </w:style>
  <w:style w:type="paragraph" w:customStyle="1" w:styleId="msonormal0">
    <w:name w:val="msonormal"/>
    <w:basedOn w:val="Normal"/>
    <w:rsid w:val="004733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73365"/>
    <w:rPr>
      <w:color w:val="800080"/>
      <w:u w:val="single"/>
    </w:rPr>
  </w:style>
  <w:style w:type="character" w:customStyle="1" w:styleId="UnresolvedMention1">
    <w:name w:val="Unresolved Mention1"/>
    <w:basedOn w:val="DefaultParagraphFont"/>
    <w:uiPriority w:val="99"/>
    <w:semiHidden/>
    <w:unhideWhenUsed/>
    <w:rsid w:val="00473365"/>
    <w:rPr>
      <w:color w:val="605E5C"/>
      <w:shd w:val="clear" w:color="auto" w:fill="E1DFDD"/>
    </w:rPr>
  </w:style>
  <w:style w:type="character" w:styleId="Emphasis">
    <w:name w:val="Emphasis"/>
    <w:basedOn w:val="DefaultParagraphFont"/>
    <w:uiPriority w:val="20"/>
    <w:qFormat/>
    <w:rsid w:val="00473365"/>
    <w:rPr>
      <w:i/>
      <w:iCs/>
    </w:rPr>
  </w:style>
  <w:style w:type="paragraph" w:styleId="ListParagraph">
    <w:name w:val="List Paragraph"/>
    <w:basedOn w:val="Normal"/>
    <w:uiPriority w:val="34"/>
    <w:qFormat/>
    <w:rsid w:val="00AA3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B70"/>
    <w:rPr>
      <w:color w:val="0000FF"/>
      <w:u w:val="single"/>
    </w:rPr>
  </w:style>
  <w:style w:type="paragraph" w:styleId="BalloonText">
    <w:name w:val="Balloon Text"/>
    <w:basedOn w:val="Normal"/>
    <w:link w:val="BalloonTextChar"/>
    <w:uiPriority w:val="99"/>
    <w:semiHidden/>
    <w:unhideWhenUsed/>
    <w:rsid w:val="008C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70"/>
    <w:rPr>
      <w:rFonts w:ascii="Tahoma" w:hAnsi="Tahoma" w:cs="Tahoma"/>
      <w:sz w:val="16"/>
      <w:szCs w:val="16"/>
    </w:rPr>
  </w:style>
  <w:style w:type="paragraph" w:styleId="NormalWeb">
    <w:name w:val="Normal (Web)"/>
    <w:basedOn w:val="Normal"/>
    <w:uiPriority w:val="99"/>
    <w:unhideWhenUsed/>
    <w:rsid w:val="00064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
    <w:name w:val="attach"/>
    <w:basedOn w:val="DefaultParagraphFont"/>
    <w:rsid w:val="000F6327"/>
  </w:style>
  <w:style w:type="table" w:styleId="TableGrid">
    <w:name w:val="Table Grid"/>
    <w:basedOn w:val="TableNormal"/>
    <w:uiPriority w:val="39"/>
    <w:rsid w:val="000F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B1362"/>
    <w:rPr>
      <w:color w:val="605E5C"/>
      <w:shd w:val="clear" w:color="auto" w:fill="E1DFDD"/>
    </w:rPr>
  </w:style>
  <w:style w:type="paragraph" w:customStyle="1" w:styleId="msonormal0">
    <w:name w:val="msonormal"/>
    <w:basedOn w:val="Normal"/>
    <w:rsid w:val="004733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73365"/>
    <w:rPr>
      <w:color w:val="800080"/>
      <w:u w:val="single"/>
    </w:rPr>
  </w:style>
  <w:style w:type="character" w:customStyle="1" w:styleId="UnresolvedMention1">
    <w:name w:val="Unresolved Mention1"/>
    <w:basedOn w:val="DefaultParagraphFont"/>
    <w:uiPriority w:val="99"/>
    <w:semiHidden/>
    <w:unhideWhenUsed/>
    <w:rsid w:val="00473365"/>
    <w:rPr>
      <w:color w:val="605E5C"/>
      <w:shd w:val="clear" w:color="auto" w:fill="E1DFDD"/>
    </w:rPr>
  </w:style>
  <w:style w:type="character" w:styleId="Emphasis">
    <w:name w:val="Emphasis"/>
    <w:basedOn w:val="DefaultParagraphFont"/>
    <w:uiPriority w:val="20"/>
    <w:qFormat/>
    <w:rsid w:val="00473365"/>
    <w:rPr>
      <w:i/>
      <w:iCs/>
    </w:rPr>
  </w:style>
  <w:style w:type="paragraph" w:styleId="ListParagraph">
    <w:name w:val="List Paragraph"/>
    <w:basedOn w:val="Normal"/>
    <w:uiPriority w:val="34"/>
    <w:qFormat/>
    <w:rsid w:val="00AA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3731">
      <w:bodyDiv w:val="1"/>
      <w:marLeft w:val="0"/>
      <w:marRight w:val="0"/>
      <w:marTop w:val="0"/>
      <w:marBottom w:val="0"/>
      <w:divBdr>
        <w:top w:val="none" w:sz="0" w:space="0" w:color="auto"/>
        <w:left w:val="none" w:sz="0" w:space="0" w:color="auto"/>
        <w:bottom w:val="none" w:sz="0" w:space="0" w:color="auto"/>
        <w:right w:val="none" w:sz="0" w:space="0" w:color="auto"/>
      </w:divBdr>
    </w:div>
    <w:div w:id="551624340">
      <w:bodyDiv w:val="1"/>
      <w:marLeft w:val="0"/>
      <w:marRight w:val="0"/>
      <w:marTop w:val="0"/>
      <w:marBottom w:val="0"/>
      <w:divBdr>
        <w:top w:val="none" w:sz="0" w:space="0" w:color="auto"/>
        <w:left w:val="none" w:sz="0" w:space="0" w:color="auto"/>
        <w:bottom w:val="none" w:sz="0" w:space="0" w:color="auto"/>
        <w:right w:val="none" w:sz="0" w:space="0" w:color="auto"/>
      </w:divBdr>
    </w:div>
    <w:div w:id="899898077">
      <w:bodyDiv w:val="1"/>
      <w:marLeft w:val="0"/>
      <w:marRight w:val="0"/>
      <w:marTop w:val="0"/>
      <w:marBottom w:val="0"/>
      <w:divBdr>
        <w:top w:val="none" w:sz="0" w:space="0" w:color="auto"/>
        <w:left w:val="none" w:sz="0" w:space="0" w:color="auto"/>
        <w:bottom w:val="none" w:sz="0" w:space="0" w:color="auto"/>
        <w:right w:val="none" w:sz="0" w:space="0" w:color="auto"/>
      </w:divBdr>
    </w:div>
    <w:div w:id="922298356">
      <w:bodyDiv w:val="1"/>
      <w:marLeft w:val="0"/>
      <w:marRight w:val="0"/>
      <w:marTop w:val="0"/>
      <w:marBottom w:val="0"/>
      <w:divBdr>
        <w:top w:val="none" w:sz="0" w:space="0" w:color="auto"/>
        <w:left w:val="none" w:sz="0" w:space="0" w:color="auto"/>
        <w:bottom w:val="none" w:sz="0" w:space="0" w:color="auto"/>
        <w:right w:val="none" w:sz="0" w:space="0" w:color="auto"/>
      </w:divBdr>
    </w:div>
    <w:div w:id="1032656723">
      <w:bodyDiv w:val="1"/>
      <w:marLeft w:val="0"/>
      <w:marRight w:val="0"/>
      <w:marTop w:val="0"/>
      <w:marBottom w:val="0"/>
      <w:divBdr>
        <w:top w:val="none" w:sz="0" w:space="0" w:color="auto"/>
        <w:left w:val="none" w:sz="0" w:space="0" w:color="auto"/>
        <w:bottom w:val="none" w:sz="0" w:space="0" w:color="auto"/>
        <w:right w:val="none" w:sz="0" w:space="0" w:color="auto"/>
      </w:divBdr>
    </w:div>
    <w:div w:id="1324160255">
      <w:bodyDiv w:val="1"/>
      <w:marLeft w:val="0"/>
      <w:marRight w:val="0"/>
      <w:marTop w:val="0"/>
      <w:marBottom w:val="0"/>
      <w:divBdr>
        <w:top w:val="none" w:sz="0" w:space="0" w:color="auto"/>
        <w:left w:val="none" w:sz="0" w:space="0" w:color="auto"/>
        <w:bottom w:val="none" w:sz="0" w:space="0" w:color="auto"/>
        <w:right w:val="none" w:sz="0" w:space="0" w:color="auto"/>
      </w:divBdr>
    </w:div>
    <w:div w:id="1392659586">
      <w:bodyDiv w:val="1"/>
      <w:marLeft w:val="0"/>
      <w:marRight w:val="0"/>
      <w:marTop w:val="0"/>
      <w:marBottom w:val="0"/>
      <w:divBdr>
        <w:top w:val="none" w:sz="0" w:space="0" w:color="auto"/>
        <w:left w:val="none" w:sz="0" w:space="0" w:color="auto"/>
        <w:bottom w:val="none" w:sz="0" w:space="0" w:color="auto"/>
        <w:right w:val="none" w:sz="0" w:space="0" w:color="auto"/>
      </w:divBdr>
    </w:div>
    <w:div w:id="1548377793">
      <w:bodyDiv w:val="1"/>
      <w:marLeft w:val="0"/>
      <w:marRight w:val="0"/>
      <w:marTop w:val="0"/>
      <w:marBottom w:val="0"/>
      <w:divBdr>
        <w:top w:val="none" w:sz="0" w:space="0" w:color="auto"/>
        <w:left w:val="none" w:sz="0" w:space="0" w:color="auto"/>
        <w:bottom w:val="none" w:sz="0" w:space="0" w:color="auto"/>
        <w:right w:val="none" w:sz="0" w:space="0" w:color="auto"/>
      </w:divBdr>
    </w:div>
    <w:div w:id="17828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svietnam.gov.vn/notice/detailvn.aspx?pageid=70&amp;mid=783&amp;item=7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st-control.canada.ca/pesticide-registry/en/disclaimer-pag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8312</Words>
  <Characters>47382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hiep</cp:lastModifiedBy>
  <cp:revision>2</cp:revision>
  <dcterms:created xsi:type="dcterms:W3CDTF">2022-08-05T10:07:00Z</dcterms:created>
  <dcterms:modified xsi:type="dcterms:W3CDTF">2022-08-05T10:07:00Z</dcterms:modified>
</cp:coreProperties>
</file>