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top w:w="15" w:type="dxa"/>
          <w:left w:w="15" w:type="dxa"/>
          <w:bottom w:w="15" w:type="dxa"/>
          <w:right w:w="15" w:type="dxa"/>
        </w:tblCellMar>
        <w:tblLook w:val="04A0" w:firstRow="1" w:lastRow="0" w:firstColumn="1" w:lastColumn="0" w:noHBand="0" w:noVBand="1"/>
      </w:tblPr>
      <w:tblGrid>
        <w:gridCol w:w="9027"/>
      </w:tblGrid>
      <w:tr w:rsidR="00000000">
        <w:trPr>
          <w:divId w:val="1150177129"/>
        </w:trPr>
        <w:tc>
          <w:tcPr>
            <w:tcW w:w="0" w:type="auto"/>
            <w:tcBorders>
              <w:top w:val="nil"/>
              <w:left w:val="nil"/>
              <w:bottom w:val="nil"/>
              <w:right w:val="nil"/>
            </w:tcBorders>
            <w:tcMar>
              <w:top w:w="75" w:type="dxa"/>
              <w:left w:w="75" w:type="dxa"/>
              <w:bottom w:w="75" w:type="dxa"/>
              <w:right w:w="75" w:type="dxa"/>
            </w:tcMar>
            <w:vAlign w:val="center"/>
            <w:hideMark/>
          </w:tcPr>
          <w:p w:rsidR="00000000" w:rsidRDefault="000F511A">
            <w:pPr>
              <w:jc w:val="center"/>
              <w:rPr>
                <w:rFonts w:eastAsia="Times New Roman"/>
                <w:b/>
                <w:bCs/>
                <w:color w:val="000000"/>
              </w:rPr>
            </w:pPr>
            <w:r>
              <w:rPr>
                <w:rFonts w:eastAsia="Times New Roman"/>
                <w:b/>
                <w:bCs/>
                <w:color w:val="000000"/>
              </w:rPr>
              <w:t xml:space="preserve">Phụ lục </w:t>
            </w:r>
            <w:r>
              <w:rPr>
                <w:rFonts w:eastAsia="Times New Roman"/>
                <w:b/>
                <w:bCs/>
                <w:color w:val="000000"/>
              </w:rPr>
              <w:t>I</w:t>
            </w:r>
            <w:r>
              <w:rPr>
                <w:rFonts w:eastAsia="Times New Roman"/>
                <w:b/>
                <w:bCs/>
                <w:color w:val="000000"/>
              </w:rPr>
              <w:br/>
            </w:r>
            <w:r>
              <w:rPr>
                <w:rFonts w:eastAsia="Times New Roman"/>
                <w:b/>
                <w:bCs/>
                <w:color w:val="000000"/>
              </w:rPr>
              <w:t>Danh sách thông báo dự thảo các quy định về SPS</w:t>
            </w:r>
            <w:r>
              <w:rPr>
                <w:rFonts w:eastAsia="Times New Roman"/>
                <w:b/>
                <w:bCs/>
                <w:color w:val="000000"/>
              </w:rPr>
              <w:t xml:space="preserve"> </w:t>
            </w:r>
            <w:r>
              <w:rPr>
                <w:rFonts w:eastAsia="Times New Roman"/>
                <w:b/>
                <w:bCs/>
                <w:color w:val="000000"/>
              </w:rPr>
              <w:br/>
            </w:r>
            <w:r>
              <w:rPr>
                <w:rFonts w:eastAsia="Times New Roman"/>
                <w:b/>
                <w:bCs/>
                <w:color w:val="000000"/>
              </w:rPr>
              <w:t xml:space="preserve">của các nước thành viên tổ chức Thương mại thế giới (WTO) trong tháng </w:t>
            </w:r>
            <w:r w:rsidR="00FD3055">
              <w:rPr>
                <w:rFonts w:eastAsia="Times New Roman"/>
                <w:b/>
                <w:bCs/>
                <w:color w:val="000000"/>
              </w:rPr>
              <w:t>8</w:t>
            </w:r>
            <w:r>
              <w:rPr>
                <w:rFonts w:eastAsia="Times New Roman"/>
                <w:b/>
                <w:bCs/>
                <w:color w:val="000000"/>
              </w:rPr>
              <w:t xml:space="preserve"> năm 201</w:t>
            </w:r>
            <w:r w:rsidR="00FD3055">
              <w:rPr>
                <w:rFonts w:eastAsia="Times New Roman"/>
                <w:b/>
                <w:bCs/>
                <w:color w:val="000000"/>
              </w:rPr>
              <w:t>6</w:t>
            </w:r>
            <w:r>
              <w:rPr>
                <w:rFonts w:eastAsia="Times New Roman"/>
                <w:b/>
                <w:bCs/>
                <w:color w:val="000000"/>
              </w:rPr>
              <w:t xml:space="preserve"> </w:t>
            </w:r>
          </w:p>
          <w:p w:rsidR="00000000" w:rsidRDefault="000F511A" w:rsidP="00FD3055">
            <w:pPr>
              <w:jc w:val="center"/>
              <w:rPr>
                <w:rFonts w:eastAsia="Times New Roman"/>
                <w:color w:val="000000"/>
              </w:rPr>
            </w:pPr>
            <w:r>
              <w:rPr>
                <w:rFonts w:eastAsia="Times New Roman"/>
                <w:color w:val="000000"/>
              </w:rPr>
              <w:t>(đính kèm theo công văn Số:</w:t>
            </w:r>
            <w:r w:rsidR="00FD3055">
              <w:rPr>
                <w:rFonts w:eastAsia="Times New Roman"/>
                <w:color w:val="000000"/>
              </w:rPr>
              <w:t xml:space="preserve">              </w:t>
            </w:r>
            <w:r>
              <w:rPr>
                <w:rFonts w:eastAsia="Times New Roman"/>
                <w:color w:val="000000"/>
              </w:rPr>
              <w:t xml:space="preserve"> /SPS-BNNVN, ngày 0</w:t>
            </w:r>
            <w:r w:rsidR="00FD3055">
              <w:rPr>
                <w:rFonts w:eastAsia="Times New Roman"/>
                <w:color w:val="000000"/>
              </w:rPr>
              <w:t>8</w:t>
            </w:r>
            <w:r>
              <w:rPr>
                <w:rFonts w:eastAsia="Times New Roman"/>
                <w:color w:val="000000"/>
              </w:rPr>
              <w:t xml:space="preserve"> tháng </w:t>
            </w:r>
            <w:r w:rsidR="00FD3055">
              <w:rPr>
                <w:rFonts w:eastAsia="Times New Roman"/>
                <w:color w:val="000000"/>
              </w:rPr>
              <w:t>9</w:t>
            </w:r>
            <w:r>
              <w:rPr>
                <w:rFonts w:eastAsia="Times New Roman"/>
                <w:color w:val="000000"/>
              </w:rPr>
              <w:t xml:space="preserve"> năm 201</w:t>
            </w:r>
            <w:r w:rsidR="00FD3055">
              <w:rPr>
                <w:rFonts w:eastAsia="Times New Roman"/>
                <w:color w:val="000000"/>
              </w:rPr>
              <w:t>6</w:t>
            </w:r>
            <w:r>
              <w:rPr>
                <w:rFonts w:eastAsia="Times New Roman"/>
                <w:color w:val="000000"/>
              </w:rPr>
              <w:t>)</w:t>
            </w:r>
          </w:p>
        </w:tc>
      </w:tr>
    </w:tbl>
    <w:p w:rsidR="00000000" w:rsidRDefault="000F511A">
      <w:pPr>
        <w:divId w:val="1150177129"/>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513"/>
        <w:gridCol w:w="4514"/>
      </w:tblGrid>
      <w:tr w:rsidR="00000000">
        <w:trPr>
          <w:divId w:val="1150177129"/>
        </w:trPr>
        <w:tc>
          <w:tcPr>
            <w:tcW w:w="0" w:type="auto"/>
            <w:gridSpan w:val="2"/>
            <w:tcBorders>
              <w:top w:val="nil"/>
              <w:left w:val="nil"/>
              <w:bottom w:val="nil"/>
              <w:right w:val="nil"/>
            </w:tcBorders>
            <w:tcMar>
              <w:top w:w="75" w:type="dxa"/>
              <w:left w:w="75" w:type="dxa"/>
              <w:bottom w:w="75" w:type="dxa"/>
              <w:right w:w="75" w:type="dxa"/>
            </w:tcMar>
            <w:vAlign w:val="center"/>
            <w:hideMark/>
          </w:tcPr>
          <w:p w:rsidR="00000000" w:rsidRDefault="000F511A">
            <w:pPr>
              <w:jc w:val="center"/>
              <w:rPr>
                <w:rFonts w:eastAsia="Times New Roman"/>
                <w:color w:val="000000"/>
              </w:rPr>
            </w:pPr>
            <w:r>
              <w:rPr>
                <w:rFonts w:eastAsia="Times New Roman"/>
                <w:b/>
                <w:bCs/>
                <w:caps/>
                <w:color w:val="000000"/>
              </w:rPr>
              <w:t>Thông báo của các nước thành viê</w:t>
            </w:r>
            <w:r>
              <w:rPr>
                <w:rFonts w:eastAsia="Times New Roman"/>
                <w:b/>
                <w:bCs/>
                <w:caps/>
                <w:color w:val="000000"/>
              </w:rPr>
              <w:t>n</w:t>
            </w:r>
            <w:r>
              <w:rPr>
                <w:rFonts w:eastAsia="Times New Roman"/>
                <w:color w:val="000000"/>
              </w:rPr>
              <w:t xml:space="preserve"> </w:t>
            </w:r>
          </w:p>
        </w:tc>
      </w:tr>
      <w:tr w:rsidR="00000000">
        <w:trPr>
          <w:divId w:val="1150177129"/>
          <w:trHeight w:val="300"/>
        </w:trPr>
        <w:tc>
          <w:tcPr>
            <w:tcW w:w="0" w:type="auto"/>
            <w:tcBorders>
              <w:top w:val="nil"/>
              <w:left w:val="nil"/>
              <w:bottom w:val="nil"/>
              <w:right w:val="nil"/>
            </w:tcBorders>
            <w:tcMar>
              <w:top w:w="75" w:type="dxa"/>
              <w:left w:w="75" w:type="dxa"/>
              <w:bottom w:w="75" w:type="dxa"/>
              <w:right w:w="75" w:type="dxa"/>
            </w:tcMar>
            <w:vAlign w:val="center"/>
            <w:hideMark/>
          </w:tcPr>
          <w:p w:rsidR="00000000" w:rsidRDefault="000F511A">
            <w:pPr>
              <w:jc w:val="center"/>
              <w:rPr>
                <w:rFonts w:eastAsia="Times New Roman"/>
                <w:color w:val="000000"/>
              </w:rPr>
            </w:pPr>
          </w:p>
        </w:tc>
        <w:tc>
          <w:tcPr>
            <w:tcW w:w="0" w:type="auto"/>
            <w:tcMar>
              <w:top w:w="75" w:type="dxa"/>
              <w:left w:w="75" w:type="dxa"/>
              <w:bottom w:w="75" w:type="dxa"/>
              <w:right w:w="75" w:type="dxa"/>
            </w:tcMar>
            <w:vAlign w:val="center"/>
            <w:hideMark/>
          </w:tcPr>
          <w:p w:rsidR="00000000" w:rsidRDefault="000F511A">
            <w:pPr>
              <w:rPr>
                <w:rFonts w:eastAsia="Times New Roman"/>
                <w:sz w:val="20"/>
                <w:szCs w:val="20"/>
              </w:rPr>
            </w:pPr>
          </w:p>
        </w:tc>
      </w:tr>
      <w:tr w:rsidR="00000000">
        <w:trPr>
          <w:divId w:val="1150177129"/>
        </w:trPr>
        <w:tc>
          <w:tcPr>
            <w:tcW w:w="0" w:type="auto"/>
            <w:gridSpan w:val="2"/>
            <w:tcBorders>
              <w:top w:val="nil"/>
              <w:left w:val="nil"/>
              <w:bottom w:val="nil"/>
              <w:right w:val="nil"/>
            </w:tcBorders>
            <w:tcMar>
              <w:top w:w="75" w:type="dxa"/>
              <w:left w:w="75" w:type="dxa"/>
              <w:bottom w:w="75" w:type="dxa"/>
              <w:right w:w="75" w:type="dxa"/>
            </w:tcMar>
            <w:vAlign w:val="center"/>
            <w:hideMark/>
          </w:tcPr>
          <w:p w:rsidR="00000000" w:rsidRDefault="000F511A" w:rsidP="00FD3055">
            <w:pPr>
              <w:rPr>
                <w:rFonts w:eastAsia="Times New Roman"/>
                <w:color w:val="000000"/>
              </w:rPr>
            </w:pPr>
            <w:r>
              <w:rPr>
                <w:rFonts w:eastAsia="Times New Roman"/>
                <w:color w:val="000000"/>
              </w:rPr>
              <w:t xml:space="preserve">Từ ngày: 08/01/2016 </w:t>
            </w:r>
            <w:r w:rsidR="00FD3055">
              <w:rPr>
                <w:rFonts w:eastAsia="Times New Roman"/>
                <w:color w:val="000000"/>
              </w:rPr>
              <w:t>đế</w:t>
            </w:r>
            <w:r>
              <w:rPr>
                <w:rFonts w:eastAsia="Times New Roman"/>
                <w:color w:val="000000"/>
              </w:rPr>
              <w:t>n n</w:t>
            </w:r>
            <w:r w:rsidR="00FD3055">
              <w:rPr>
                <w:rFonts w:eastAsia="Times New Roman"/>
                <w:color w:val="000000"/>
              </w:rPr>
              <w:t>gày 31/8/2016</w:t>
            </w:r>
            <w:r>
              <w:rPr>
                <w:rFonts w:eastAsia="Times New Roman"/>
                <w:color w:val="000000"/>
              </w:rPr>
              <w:t xml:space="preserve"> </w:t>
            </w:r>
          </w:p>
        </w:tc>
      </w:tr>
    </w:tbl>
    <w:p w:rsidR="00000000" w:rsidRDefault="000F511A">
      <w:pPr>
        <w:divId w:val="1150177129"/>
        <w:rPr>
          <w:rFonts w:eastAsia="Times New Roman"/>
          <w:vanish/>
          <w:color w:val="000000"/>
        </w:rPr>
      </w:pPr>
    </w:p>
    <w:tbl>
      <w:tblPr>
        <w:tblW w:w="561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44"/>
        <w:gridCol w:w="1060"/>
        <w:gridCol w:w="1228"/>
        <w:gridCol w:w="1232"/>
        <w:gridCol w:w="6153"/>
      </w:tblGrid>
      <w:tr w:rsidR="00FD3055" w:rsidTr="00FD3055">
        <w:trPr>
          <w:divId w:val="1150177129"/>
        </w:trPr>
        <w:tc>
          <w:tcPr>
            <w:tcW w:w="219" w:type="pct"/>
            <w:vAlign w:val="center"/>
            <w:hideMark/>
          </w:tcPr>
          <w:p w:rsidR="00000000" w:rsidRDefault="000F511A">
            <w:pPr>
              <w:jc w:val="center"/>
              <w:rPr>
                <w:rFonts w:eastAsia="Times New Roman"/>
                <w:color w:val="000000"/>
              </w:rPr>
            </w:pPr>
            <w:r>
              <w:rPr>
                <w:rFonts w:eastAsia="Times New Roman"/>
                <w:color w:val="000000"/>
              </w:rPr>
              <w:t>STT</w:t>
            </w:r>
          </w:p>
        </w:tc>
        <w:tc>
          <w:tcPr>
            <w:tcW w:w="524" w:type="pct"/>
            <w:vAlign w:val="center"/>
            <w:hideMark/>
          </w:tcPr>
          <w:p w:rsidR="00000000" w:rsidRDefault="000F511A">
            <w:pPr>
              <w:jc w:val="center"/>
              <w:rPr>
                <w:rFonts w:eastAsia="Times New Roman"/>
                <w:color w:val="000000"/>
              </w:rPr>
            </w:pPr>
            <w:r>
              <w:rPr>
                <w:rFonts w:eastAsia="Times New Roman"/>
                <w:color w:val="000000"/>
              </w:rPr>
              <w:t>Mã WTO</w:t>
            </w:r>
          </w:p>
        </w:tc>
        <w:tc>
          <w:tcPr>
            <w:tcW w:w="607" w:type="pct"/>
            <w:vAlign w:val="center"/>
            <w:hideMark/>
          </w:tcPr>
          <w:p w:rsidR="00000000" w:rsidRDefault="000F511A">
            <w:pPr>
              <w:jc w:val="center"/>
              <w:rPr>
                <w:rFonts w:eastAsia="Times New Roman"/>
                <w:color w:val="000000"/>
              </w:rPr>
            </w:pPr>
            <w:r>
              <w:rPr>
                <w:rFonts w:eastAsia="Times New Roman"/>
                <w:color w:val="000000"/>
              </w:rPr>
              <w:t>Quốc gia thông báo</w:t>
            </w:r>
          </w:p>
        </w:tc>
        <w:tc>
          <w:tcPr>
            <w:tcW w:w="609" w:type="pct"/>
            <w:vAlign w:val="center"/>
            <w:hideMark/>
          </w:tcPr>
          <w:p w:rsidR="00000000" w:rsidRDefault="000F511A">
            <w:pPr>
              <w:jc w:val="center"/>
              <w:rPr>
                <w:rFonts w:eastAsia="Times New Roman"/>
                <w:color w:val="000000"/>
              </w:rPr>
            </w:pPr>
            <w:r>
              <w:rPr>
                <w:rFonts w:eastAsia="Times New Roman"/>
                <w:color w:val="000000"/>
              </w:rPr>
              <w:t>Ngày thông báo</w:t>
            </w:r>
          </w:p>
        </w:tc>
        <w:tc>
          <w:tcPr>
            <w:tcW w:w="3042" w:type="pct"/>
            <w:vAlign w:val="center"/>
            <w:hideMark/>
          </w:tcPr>
          <w:p w:rsidR="00000000" w:rsidRDefault="000F511A">
            <w:pPr>
              <w:rPr>
                <w:rFonts w:eastAsia="Times New Roman"/>
                <w:color w:val="000000"/>
              </w:rPr>
            </w:pPr>
            <w:r>
              <w:rPr>
                <w:rFonts w:eastAsia="Times New Roman"/>
                <w:color w:val="000000"/>
              </w:rPr>
              <w:t>Tiêu đề</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1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G/SPS/N/USA/2876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United States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01/08/2016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Notice of Availability: Proposed Changes to the National Poultry Improvement Plan Program Standards (APHIS-2016-0013)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2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G/SPS/N/DEU/11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Germany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01/08/2016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Draft Twenty-first Ordinance amending the Ordinance on Consumer Goods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3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G/SPS/N/CAN/1045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Canada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01/08/2016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Proposed Maximum Residue Limit: Hexythiazox (PMRL2016-37)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4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G/SPS/N/CAN/1044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Canada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01/08/2016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Proposed Maximum Residue Limit: Fosetyl-aluminum (PMRL2016-36)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5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G/SPS/N/TPKM/407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Chinese Taipei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02/08/2016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Import inspection requirement for commodities classified under a specific CCC code ifthey are used for food purposes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6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G/SPS/N/MAR/45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Morocco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02/08/2016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Order establishing the formalities and phytosanitary requirements applicable to certain plant products for export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7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G/SPS/N/JPN/470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Japan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02/08/2016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Revision of the Standards and Specifications for Foods and Food Additives under the Food Sanitation Act (Revision of agricultural chemical residue standards)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8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G/SPS/N/JPN/469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Japan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02/08/2016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Revision of the Standards and Specifications for Foods and Food Additives under the Food Sanitation Act (Revision of agricultural chemical residue standards)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9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G/SPS/N/JPN/468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Japan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02/08/2016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Revision of the Standards and Specifications for Foods and Food Additives under the Food Sanitation Act (Revision of agricultural chemical residue standards)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10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G/SPS/N/JPN/467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Japan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02/08/2016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Revision of the Standards and Specifications for Foods and Food Additives under the Food Sanitation Act (Revision of agricultural chemical residue standards)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11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G/SPS/N/JPN/466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Japan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02/08/2016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Revision of the Standards and Specifications for Foods and Food Additives under the Food Sanitation Act (Revision of agricultural chemical residue standards)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12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G/SPS/N/JPN/471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Japan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05/08/2016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Draft revision of the Ministerial Ordinance for Enforcement of the Act on Domestic Animal Infectious Disease Control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13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G/SPS/N/EU/169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European Union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05/08/2016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Commission Regulation (EU) 2016/1244 of 28 July 2016 amending Annex I to Regulation (EC) No 1334/2008 of the European Parliament and of the Council as regards certain flavouring substances from a group related with an alpha beta unsaturation structure (Text with EEA relevance)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lastRenderedPageBreak/>
              <w:t xml:space="preserve">14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G/SPS/N/CHN/1051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China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05/08/2016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National Food Safety Standard of the P.R.C.: Maximum Residue Limits for Pesticides in Foods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15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G/SPS/N/BRA/1175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Brazil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05/08/2016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Draft resolution regarding the active ingredient M02 MANCOZEB of the monograph list of active ingredients for pesticides, household cleaning products and wood preservers, published by Resolution - RE n° 165 of 29 August 2003, Brazilian Official Gazette (DOU Diário Oficial da União) of 2 September 2003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16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G/SPS/N/BRA/1173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Brazil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05/08/2016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Draft resolution regarding the active ingredient P43 PYRIMETHANIL of the monograph list of active ingredients for pesticides, household cleaning products and wood preservers, published by Resolution - RE n° 165 of 29 August 2003, Brazilian Official Gazette (DOU Diário Oficial da União) of 2 September 2003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17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G/SPS/N/TPKM/408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Chinese Taipei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08/08/2016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Draft of Standards for Pesticide Residue Limits in Foods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18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G/SPS/N/KOR/543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Republic of Korea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08/08/2016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Proposed Comprehensive Amendments to the Standards and Specifications for Foods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19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G/SPS/N/CAN/1047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Canada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08/08/2016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Proposed Maximum Residue Limit: Spiromesifen (PMRL2016-39)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20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G/SPS/N/CAN/1046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Canada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08/08/2016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Proposed Maximum Residue Limit: Pyrimethanil (PMRL2016-38)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21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G/SPS/N/AFG/3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Afghanistan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08/08/2016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Plant Protection and Quarantine Law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22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G/SPS/N/AFG/2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Afghanistan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08/08/2016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Law on Food Safety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23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G/SPS/N/AFG/1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Afghanistan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08/08/2016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Animal Health (Veterinary) Law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24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G/SPS/N/SAU/204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Afghanistan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09/08/2016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Organic Agriculture Law and Organic Agriculture ByLaw in Kingdom of Saudi Arabia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25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G/SPS/N/PHL/333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Philippines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09/08/2016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Draft of the Philippine National Standards (PNS) for Dried Cassava Chips and Grates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26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G/SPS/N/PHL/332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Philippines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09/08/2016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Revised Draft of the Philippine National Standards (PNS) on the Code of Good Aquaculture Practices (GAqP) for Seaweeds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27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G/SPS/N/PHL/331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Philippines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09/08/2016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Draft of the Philippine National Standards (PNS) for Dried Cassava Chips and Granules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28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G/SPS/N/PHL/330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Philippines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09/08/2016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Revised Draft of the Philippine National Standards (PNS) on the Code of Good Aquaculture Practices (GAqP) for Crustaceans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29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G/SPS/N/PHL/329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Philippines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09/08/2016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Revised Draft of the Philippine National Standards (PNS) on the Code of Good Aquaculture Practices (GAqP) for Finfishes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30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G/SPS/N/USA/2879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United States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10/08/2016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Cyprodinil; Pesticide Tolerances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31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G/SPS/N/USA/2878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United States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10/08/2016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Receipt of Several Pesticide Petitions Filed for Residues of Pesticide Chemicals in or on Various Commodities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lastRenderedPageBreak/>
              <w:t xml:space="preserve">32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G/SPS/N/CAN/1050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Canada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10/08/2016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Proposed Maximum Residue Limit: S-metolachlor (PMRL2016-42)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33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G/SPS/N/CAN/1049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Canada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10/08/2016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Proposed Maximum Residue Limit: Benoxacor (PMRL2016-41)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34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G/SPS/N/AUS/392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Australia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10/08/2016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Proposal to Amend Schedule 20 of the revised Australia New Zealand Food Standards Code (9 August 2016 - Proposed amendment (Agricultural and Veterinary Chemicals Code Instrument No. 4 (MRL Standard) Amendment Instrument 2016 (No. 9)))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35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G/SPS/N/PHL/337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Philippines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11/08/2016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Draft Philippines National Standard Code of Good Aquaculture Practices (GAqP) for Oysters and Mussels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36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G/SPS/N/IND/155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India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11/08/2016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The draft Food Safety and Standards (Food Products Standards and Food Additives) Amendment Regulations, 2016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37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G/SPS/N/EGY/76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Egypt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11/08/2016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Ministerial Decree No. 256/2016 that gives producers and importers a six-month transitional period to comply with Egyptian standard ES 1725/2016 "Salted fish"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38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G/SPS/N/USA/2882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United States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12/08/2016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Flonicamid; Pesticide Tolerances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39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G/SPS/N/USA/2881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United States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12/08/2016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Cloquintocet-mexyl; Pesticide Tolerances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40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G/SPS/N/PHL/338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Philippines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12/08/2016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Draft Philippine National Standard (PNS) Specification and Grading for Chilli Pepper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41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G/SPS/N/EGY/77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Egypt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16/08/2016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Ministerial Decree No. 244/2016 regarding the Maximum Residue Limits of Pesticides in Food and Feed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42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G/SPS/N/USA/2886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United States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17/08/2016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Aminocyclopyrachlor; Pesticide Tolerances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43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G/SPS/N/USA/2884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United States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17/08/2016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Receipt of Several Pesticide Petitions Filed for Residues of Pesticide Chemicals in or on Various Commodities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44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G/SPS/N/TPKM/409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Chinese Taipei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17/08/2016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Draft of the use restrictions and labeling requirement of aloe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45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G/SPS/N/RUS/131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Russian Federation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18/08/2016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Draft Regulation of the Government of the Russian Federation on quarantine phytosanitary control at shipment and production (including processing) sites of quarantine products, imported for sowing and planting from the third countries and group of the third countries, where spread of specific quarantine objects for such quarantine products was detected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46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G/SPS/N/UKR/111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Ukraine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19/08/2016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Draft order "On approving requirements for importing (sending) into the customs territory of Ukraine of live animals, their reproductive material, food products of animal origin and products not intended for human consumption"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47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G/SPS/N/CRI/176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Costa Rica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22/08/2016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Central American Technical Regulation (RTCA) No. 67.06.74:16: Organic agricultural products. Production, processing, marketing, certification and labelling requirements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48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G/SPS/N/SLV/122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El Salvador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23/08/2016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Central American Technical Regulation (RTCA) 67.06.74:16: Organic agricultural products. Requirements governing production, processing, marketing, certification and labelling </w:t>
            </w:r>
          </w:p>
        </w:tc>
        <w:bookmarkStart w:id="0" w:name="_GoBack"/>
        <w:bookmarkEnd w:id="0"/>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lastRenderedPageBreak/>
              <w:t xml:space="preserve">49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G/SPS/N/PAN/59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Panama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23/08/2016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Central American Technical Regulation (RTCA) 67.06.74:16: Organic agricultural products. Requirements governing production, processing, marketing, certification and labelling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50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G/SPS/N/NIC/96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Nicaragua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23/08/2016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Central American Technical Regulation NTON 11 049-16/RTCA 67.06.74:16: Organic agricultural products. Requirements governing production, processing, marketing, certification and labelling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51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G/SPS/N/AUS/394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Australia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24/08/2016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Imported Food Reforms - Consultation regulation impact statement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52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G/SPS/N/JPN/474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Japan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25/08/2016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Amendment to the Enforcement Ordinance of the Food Sanitation Law and the Standards and Specifications for Foods and Food Additives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53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G/SPS/N/JPN/473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Japan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25/08/2016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Amendment to the Enforcement Ordinance of the Food Sanitation Law and the Standards and Specifications for Foods and Food Additives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54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G/SPS/N/JPN/472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Japan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25/08/2016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Amendment to the Enforcement Ordinance of the Food Sanitation Law and the Standards and Specifications for Foods and Food Additives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55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G/SPS/N/AUS/396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Australia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26/08/2016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Proposal to Amend Schedule 20 of the revised Australia New Zealand Food Standards Code (23 August 2016 - Proposed amendment (Agricultural and Veterinary Chemicals Code Instrument No. 4 (MRL Standard) Amendment Instrument 2016 (No. 11)))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56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G/SPS/N/JPN/476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Japan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30/08/2016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Amendments to the Enforcement Ordinance of the Standards of Feed and Feed Additives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57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G/SPS/N/JPN/475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Japan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30/08/2016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Amendment to the Enforcement Ordinance of the Food Sanitation Law and the Standards and Specifications for Foods and Food Additives </w:t>
            </w:r>
          </w:p>
        </w:tc>
      </w:tr>
      <w:tr w:rsidR="00FD3055" w:rsidTr="00FD3055">
        <w:trPr>
          <w:divId w:val="1150177129"/>
        </w:trPr>
        <w:tc>
          <w:tcPr>
            <w:tcW w:w="219" w:type="pct"/>
            <w:vAlign w:val="center"/>
            <w:hideMark/>
          </w:tcPr>
          <w:p w:rsidR="00FD3055" w:rsidRDefault="00FD3055">
            <w:pPr>
              <w:jc w:val="center"/>
              <w:rPr>
                <w:rFonts w:eastAsia="Times New Roman"/>
                <w:color w:val="000000"/>
              </w:rPr>
            </w:pPr>
            <w:r>
              <w:rPr>
                <w:rFonts w:eastAsia="Times New Roman"/>
                <w:color w:val="000000"/>
              </w:rPr>
              <w:t xml:space="preserve">58 </w:t>
            </w:r>
          </w:p>
        </w:tc>
        <w:tc>
          <w:tcPr>
            <w:tcW w:w="524" w:type="pct"/>
            <w:vAlign w:val="center"/>
            <w:hideMark/>
          </w:tcPr>
          <w:p w:rsidR="00FD3055" w:rsidRDefault="00FD3055">
            <w:pPr>
              <w:jc w:val="center"/>
              <w:rPr>
                <w:rFonts w:eastAsia="Times New Roman"/>
                <w:color w:val="000000"/>
              </w:rPr>
            </w:pPr>
            <w:r>
              <w:rPr>
                <w:rFonts w:eastAsia="Times New Roman"/>
                <w:color w:val="000000"/>
              </w:rPr>
              <w:t xml:space="preserve">G/SPS/N/CAN/1053 </w:t>
            </w:r>
          </w:p>
        </w:tc>
        <w:tc>
          <w:tcPr>
            <w:tcW w:w="607" w:type="pct"/>
            <w:vAlign w:val="center"/>
            <w:hideMark/>
          </w:tcPr>
          <w:p w:rsidR="00FD3055" w:rsidRDefault="00FD3055">
            <w:pPr>
              <w:jc w:val="center"/>
              <w:rPr>
                <w:rFonts w:eastAsia="Times New Roman"/>
                <w:color w:val="000000"/>
              </w:rPr>
            </w:pPr>
            <w:r>
              <w:rPr>
                <w:rFonts w:eastAsia="Times New Roman"/>
                <w:color w:val="000000"/>
              </w:rPr>
              <w:t xml:space="preserve">Canada </w:t>
            </w:r>
          </w:p>
        </w:tc>
        <w:tc>
          <w:tcPr>
            <w:tcW w:w="609" w:type="pct"/>
            <w:vAlign w:val="center"/>
            <w:hideMark/>
          </w:tcPr>
          <w:p w:rsidR="00FD3055" w:rsidRDefault="00FD3055">
            <w:pPr>
              <w:jc w:val="center"/>
              <w:rPr>
                <w:rFonts w:eastAsia="Times New Roman"/>
                <w:color w:val="000000"/>
              </w:rPr>
            </w:pPr>
            <w:r>
              <w:rPr>
                <w:rFonts w:eastAsia="Times New Roman"/>
                <w:color w:val="000000"/>
              </w:rPr>
              <w:t xml:space="preserve">31/08/2016 </w:t>
            </w:r>
          </w:p>
        </w:tc>
        <w:tc>
          <w:tcPr>
            <w:tcW w:w="3042" w:type="pct"/>
            <w:vAlign w:val="center"/>
            <w:hideMark/>
          </w:tcPr>
          <w:p w:rsidR="00FD3055" w:rsidRDefault="00FD3055">
            <w:pPr>
              <w:rPr>
                <w:rFonts w:eastAsia="Times New Roman"/>
                <w:color w:val="000000"/>
              </w:rPr>
            </w:pPr>
            <w:r>
              <w:rPr>
                <w:rFonts w:eastAsia="Times New Roman"/>
                <w:color w:val="000000"/>
              </w:rPr>
              <w:t xml:space="preserve">Proposed Maximum Residue Limit: Pyriofenone (PMRL2016-45) </w:t>
            </w:r>
          </w:p>
        </w:tc>
      </w:tr>
    </w:tbl>
    <w:p w:rsidR="00000000" w:rsidRDefault="000F511A">
      <w:pPr>
        <w:divId w:val="1150177129"/>
        <w:rPr>
          <w:rFonts w:eastAsia="Times New Roman"/>
        </w:rPr>
      </w:pPr>
    </w:p>
    <w:p w:rsidR="00FD3055" w:rsidRDefault="00FD3055">
      <w:pPr>
        <w:divId w:val="1150177129"/>
        <w:rPr>
          <w:rFonts w:eastAsia="Times New Roman"/>
        </w:rPr>
      </w:pPr>
    </w:p>
    <w:p w:rsidR="001D6F64" w:rsidRPr="00715F29" w:rsidRDefault="001D6F64" w:rsidP="001D6F64">
      <w:pPr>
        <w:spacing w:before="120"/>
        <w:divId w:val="1150177129"/>
        <w:rPr>
          <w:color w:val="000000"/>
          <w:sz w:val="27"/>
          <w:szCs w:val="27"/>
        </w:rPr>
      </w:pPr>
      <w:r>
        <w:rPr>
          <w:color w:val="000000"/>
          <w:sz w:val="28"/>
          <w:szCs w:val="28"/>
        </w:rPr>
        <w:t>Để biết thêm c</w:t>
      </w:r>
      <w:r w:rsidRPr="00715F29">
        <w:rPr>
          <w:color w:val="000000"/>
          <w:sz w:val="28"/>
          <w:szCs w:val="28"/>
        </w:rPr>
        <w:t>hi tiết nội dung dự thảo xin truy cập địa chỉ:</w:t>
      </w:r>
    </w:p>
    <w:p w:rsidR="001D6F64" w:rsidRPr="00715F29" w:rsidRDefault="001D6F64" w:rsidP="001D6F64">
      <w:pPr>
        <w:spacing w:before="120"/>
        <w:divId w:val="1150177129"/>
        <w:rPr>
          <w:color w:val="000000"/>
          <w:sz w:val="27"/>
          <w:szCs w:val="27"/>
        </w:rPr>
      </w:pPr>
      <w:hyperlink r:id="rId6" w:history="1">
        <w:r w:rsidRPr="00715F29">
          <w:rPr>
            <w:color w:val="954F72"/>
            <w:sz w:val="27"/>
            <w:szCs w:val="27"/>
            <w:u w:val="single"/>
          </w:rPr>
          <w:t>http://www.spsvietnam.gov.vn/thong-bao-cac-nuoc-thanh-vien</w:t>
        </w:r>
      </w:hyperlink>
    </w:p>
    <w:p w:rsidR="001D6F64" w:rsidRPr="00715F29" w:rsidRDefault="001D6F64" w:rsidP="001D6F64">
      <w:pPr>
        <w:spacing w:before="120"/>
        <w:divId w:val="1150177129"/>
        <w:rPr>
          <w:color w:val="000000"/>
          <w:sz w:val="27"/>
          <w:szCs w:val="27"/>
        </w:rPr>
      </w:pPr>
      <w:r w:rsidRPr="00715F29">
        <w:rPr>
          <w:color w:val="000000"/>
          <w:sz w:val="27"/>
          <w:szCs w:val="27"/>
        </w:rPr>
        <w:t>Hoặc tham khảo trên: </w:t>
      </w:r>
      <w:hyperlink r:id="rId7" w:history="1">
        <w:r w:rsidRPr="00715F29">
          <w:rPr>
            <w:color w:val="954F72"/>
            <w:sz w:val="27"/>
            <w:szCs w:val="27"/>
            <w:u w:val="single"/>
          </w:rPr>
          <w:t>https://docs.wto.org</w:t>
        </w:r>
      </w:hyperlink>
    </w:p>
    <w:p w:rsidR="00FD3055" w:rsidRDefault="00FD3055">
      <w:pPr>
        <w:divId w:val="1150177129"/>
        <w:rPr>
          <w:rFonts w:eastAsia="Times New Roman"/>
        </w:rPr>
      </w:pPr>
    </w:p>
    <w:sectPr w:rsidR="00FD3055" w:rsidSect="00C44BBB">
      <w:footerReference w:type="default" r:id="rId8"/>
      <w:pgSz w:w="11907" w:h="16839" w:code="9"/>
      <w:pgMar w:top="1276"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11A" w:rsidRDefault="000F511A" w:rsidP="00C44BBB">
      <w:r>
        <w:separator/>
      </w:r>
    </w:p>
  </w:endnote>
  <w:endnote w:type="continuationSeparator" w:id="0">
    <w:p w:rsidR="000F511A" w:rsidRDefault="000F511A" w:rsidP="00C4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555727"/>
      <w:docPartObj>
        <w:docPartGallery w:val="Page Numbers (Bottom of Page)"/>
        <w:docPartUnique/>
      </w:docPartObj>
    </w:sdtPr>
    <w:sdtEndPr>
      <w:rPr>
        <w:noProof/>
      </w:rPr>
    </w:sdtEndPr>
    <w:sdtContent>
      <w:p w:rsidR="00C44BBB" w:rsidRDefault="00C44BBB" w:rsidP="00C44BBB">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11A" w:rsidRDefault="000F511A" w:rsidP="00C44BBB">
      <w:r>
        <w:separator/>
      </w:r>
    </w:p>
  </w:footnote>
  <w:footnote w:type="continuationSeparator" w:id="0">
    <w:p w:rsidR="000F511A" w:rsidRDefault="000F511A" w:rsidP="00C44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D3055"/>
    <w:rsid w:val="000F511A"/>
    <w:rsid w:val="001D6F64"/>
    <w:rsid w:val="00C44BBB"/>
    <w:rsid w:val="00FD3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B2A301-513B-4202-89B9-DDD35E34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lcontent">
    <w:name w:val="tblcontent"/>
    <w:basedOn w:val="Normal"/>
    <w:pPr>
      <w:pBdr>
        <w:top w:val="single" w:sz="6" w:space="0" w:color="D9D9D9"/>
        <w:left w:val="single" w:sz="6" w:space="0" w:color="D9D9D9"/>
        <w:bottom w:val="single" w:sz="6" w:space="0" w:color="D9D9D9"/>
        <w:right w:val="single" w:sz="6" w:space="0" w:color="D9D9D9"/>
      </w:pBdr>
      <w:spacing w:before="100" w:beforeAutospacing="1" w:after="100" w:afterAutospacing="1"/>
    </w:pPr>
  </w:style>
  <w:style w:type="paragraph" w:styleId="BalloonText">
    <w:name w:val="Balloon Text"/>
    <w:basedOn w:val="Normal"/>
    <w:link w:val="BalloonTextChar"/>
    <w:uiPriority w:val="99"/>
    <w:semiHidden/>
    <w:unhideWhenUsed/>
    <w:rsid w:val="00C44B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BBB"/>
    <w:rPr>
      <w:rFonts w:ascii="Segoe UI" w:eastAsiaTheme="minorEastAsia" w:hAnsi="Segoe UI" w:cs="Segoe UI"/>
      <w:sz w:val="18"/>
      <w:szCs w:val="18"/>
    </w:rPr>
  </w:style>
  <w:style w:type="paragraph" w:styleId="Header">
    <w:name w:val="header"/>
    <w:basedOn w:val="Normal"/>
    <w:link w:val="HeaderChar"/>
    <w:uiPriority w:val="99"/>
    <w:unhideWhenUsed/>
    <w:rsid w:val="00C44BBB"/>
    <w:pPr>
      <w:tabs>
        <w:tab w:val="center" w:pos="4680"/>
        <w:tab w:val="right" w:pos="9360"/>
      </w:tabs>
    </w:pPr>
  </w:style>
  <w:style w:type="character" w:customStyle="1" w:styleId="HeaderChar">
    <w:name w:val="Header Char"/>
    <w:basedOn w:val="DefaultParagraphFont"/>
    <w:link w:val="Header"/>
    <w:uiPriority w:val="99"/>
    <w:rsid w:val="00C44BBB"/>
    <w:rPr>
      <w:rFonts w:eastAsiaTheme="minorEastAsia"/>
      <w:sz w:val="24"/>
      <w:szCs w:val="24"/>
    </w:rPr>
  </w:style>
  <w:style w:type="paragraph" w:styleId="Footer">
    <w:name w:val="footer"/>
    <w:basedOn w:val="Normal"/>
    <w:link w:val="FooterChar"/>
    <w:uiPriority w:val="99"/>
    <w:unhideWhenUsed/>
    <w:rsid w:val="00C44BBB"/>
    <w:pPr>
      <w:tabs>
        <w:tab w:val="center" w:pos="4680"/>
        <w:tab w:val="right" w:pos="9360"/>
      </w:tabs>
    </w:pPr>
  </w:style>
  <w:style w:type="character" w:customStyle="1" w:styleId="FooterChar">
    <w:name w:val="Footer Char"/>
    <w:basedOn w:val="DefaultParagraphFont"/>
    <w:link w:val="Footer"/>
    <w:uiPriority w:val="99"/>
    <w:rsid w:val="00C44BB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1771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docs.wt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svietnam.gov.vn/thong-bao-cac-nuoc-thanh-vi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hieppcicd</dc:creator>
  <cp:keywords/>
  <dc:description/>
  <cp:lastModifiedBy>hieppcicd</cp:lastModifiedBy>
  <cp:revision>4</cp:revision>
  <cp:lastPrinted>2016-09-08T03:33:00Z</cp:lastPrinted>
  <dcterms:created xsi:type="dcterms:W3CDTF">2016-09-08T03:29:00Z</dcterms:created>
  <dcterms:modified xsi:type="dcterms:W3CDTF">2016-09-08T03:33:00Z</dcterms:modified>
</cp:coreProperties>
</file>